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F89" w:rsidRPr="006149DE" w:rsidRDefault="000B3F89" w:rsidP="008F2102">
      <w:pPr>
        <w:spacing w:after="0" w:line="240" w:lineRule="auto"/>
        <w:jc w:val="center"/>
        <w:rPr>
          <w:rFonts w:ascii="Times New Roman" w:hAnsi="Times New Roman" w:cs="Times New Roman"/>
          <w:b/>
          <w:sz w:val="24"/>
          <w:szCs w:val="24"/>
          <w:lang w:val="en-GB"/>
        </w:rPr>
      </w:pPr>
      <w:r w:rsidRPr="006149DE">
        <w:rPr>
          <w:rFonts w:ascii="Times New Roman" w:hAnsi="Times New Roman" w:cs="Times New Roman"/>
          <w:b/>
          <w:sz w:val="24"/>
          <w:szCs w:val="24"/>
          <w:lang w:val="en-GB"/>
        </w:rPr>
        <w:t>ANALISIS DISCOUNTED CASH FLOW (DCF) DALAM INVESTASI TAMBANG DAN KELAYAKAN EKONOMI PADA EKSTRAKSI TIMAH DENGAN MENGGUNAKAN TEKNOLOGI KLORINASI BASAH</w:t>
      </w:r>
    </w:p>
    <w:p w:rsidR="00C847E5" w:rsidRPr="006149DE" w:rsidRDefault="00C847E5" w:rsidP="008F2102">
      <w:pPr>
        <w:spacing w:after="0" w:line="240" w:lineRule="auto"/>
        <w:jc w:val="both"/>
        <w:rPr>
          <w:rFonts w:ascii="Times New Roman" w:hAnsi="Times New Roman" w:cs="Times New Roman"/>
          <w:sz w:val="24"/>
          <w:szCs w:val="24"/>
          <w:lang w:val="en-GB"/>
        </w:rPr>
      </w:pPr>
    </w:p>
    <w:p w:rsidR="00C847E5" w:rsidRPr="006149DE" w:rsidRDefault="00C847E5" w:rsidP="008F2102">
      <w:pPr>
        <w:spacing w:after="0" w:line="240" w:lineRule="auto"/>
        <w:jc w:val="center"/>
        <w:rPr>
          <w:rFonts w:ascii="Times New Roman" w:hAnsi="Times New Roman" w:cs="Times New Roman"/>
          <w:b/>
          <w:sz w:val="24"/>
          <w:szCs w:val="24"/>
          <w:lang w:val="en-GB"/>
        </w:rPr>
      </w:pPr>
      <w:r w:rsidRPr="006149DE">
        <w:rPr>
          <w:rFonts w:ascii="Times New Roman" w:hAnsi="Times New Roman" w:cs="Times New Roman"/>
          <w:b/>
          <w:sz w:val="24"/>
          <w:szCs w:val="24"/>
          <w:lang w:val="en-GB"/>
        </w:rPr>
        <w:t>Noor Fauzi Isniarno</w:t>
      </w:r>
      <w:r w:rsidR="00724231" w:rsidRPr="006149DE">
        <w:rPr>
          <w:rFonts w:ascii="Times New Roman" w:hAnsi="Times New Roman" w:cs="Times New Roman"/>
          <w:b/>
          <w:sz w:val="24"/>
          <w:szCs w:val="24"/>
          <w:vertAlign w:val="superscript"/>
          <w:lang w:val="en-GB"/>
        </w:rPr>
        <w:t>1*</w:t>
      </w:r>
      <w:r w:rsidRPr="006149DE">
        <w:rPr>
          <w:rFonts w:ascii="Times New Roman" w:hAnsi="Times New Roman" w:cs="Times New Roman"/>
          <w:b/>
          <w:sz w:val="24"/>
          <w:szCs w:val="24"/>
          <w:vertAlign w:val="superscript"/>
          <w:lang w:val="en-GB"/>
        </w:rPr>
        <w:t>,</w:t>
      </w:r>
      <w:r w:rsidRPr="006149DE">
        <w:rPr>
          <w:rFonts w:ascii="Times New Roman" w:hAnsi="Times New Roman" w:cs="Times New Roman"/>
          <w:b/>
          <w:sz w:val="24"/>
          <w:szCs w:val="24"/>
          <w:lang w:val="en-GB"/>
        </w:rPr>
        <w:t xml:space="preserve"> Ilham Rifki Nurfajar</w:t>
      </w:r>
      <w:r w:rsidR="00724231" w:rsidRPr="006149DE">
        <w:rPr>
          <w:rFonts w:ascii="Times New Roman" w:hAnsi="Times New Roman" w:cs="Times New Roman"/>
          <w:b/>
          <w:sz w:val="24"/>
          <w:szCs w:val="24"/>
          <w:vertAlign w:val="superscript"/>
          <w:lang w:val="en-GB"/>
        </w:rPr>
        <w:t>1</w:t>
      </w:r>
      <w:r w:rsidRPr="006149DE">
        <w:rPr>
          <w:rFonts w:ascii="Times New Roman" w:hAnsi="Times New Roman" w:cs="Times New Roman"/>
          <w:b/>
          <w:sz w:val="24"/>
          <w:szCs w:val="24"/>
          <w:lang w:val="en-GB"/>
        </w:rPr>
        <w:t>, Maulana Okta Saputra</w:t>
      </w:r>
      <w:r w:rsidR="00724231" w:rsidRPr="006149DE">
        <w:rPr>
          <w:rFonts w:ascii="Times New Roman" w:hAnsi="Times New Roman" w:cs="Times New Roman"/>
          <w:b/>
          <w:sz w:val="24"/>
          <w:szCs w:val="24"/>
          <w:vertAlign w:val="superscript"/>
          <w:lang w:val="en-GB"/>
        </w:rPr>
        <w:t>1</w:t>
      </w:r>
    </w:p>
    <w:p w:rsidR="00C847E5" w:rsidRPr="006149DE" w:rsidRDefault="00724231" w:rsidP="008F2102">
      <w:pPr>
        <w:pStyle w:val="ListParagraph"/>
        <w:spacing w:after="0" w:line="240" w:lineRule="auto"/>
        <w:ind w:left="0"/>
        <w:jc w:val="center"/>
        <w:rPr>
          <w:rFonts w:ascii="Times New Roman" w:hAnsi="Times New Roman" w:cs="Times New Roman"/>
          <w:sz w:val="24"/>
          <w:szCs w:val="24"/>
          <w:lang w:val="en-GB"/>
        </w:rPr>
      </w:pPr>
      <w:r w:rsidRPr="006149DE">
        <w:rPr>
          <w:rFonts w:ascii="Times New Roman" w:hAnsi="Times New Roman" w:cs="Times New Roman"/>
          <w:sz w:val="24"/>
          <w:szCs w:val="24"/>
          <w:vertAlign w:val="superscript"/>
          <w:lang w:val="en-GB"/>
        </w:rPr>
        <w:t>1)</w:t>
      </w:r>
      <w:r w:rsidRPr="006149DE">
        <w:rPr>
          <w:rFonts w:ascii="Times New Roman" w:hAnsi="Times New Roman" w:cs="Times New Roman"/>
          <w:sz w:val="24"/>
          <w:szCs w:val="24"/>
          <w:lang w:val="en-GB"/>
        </w:rPr>
        <w:t xml:space="preserve"> </w:t>
      </w:r>
      <w:r w:rsidR="00C847E5" w:rsidRPr="006149DE">
        <w:rPr>
          <w:rFonts w:ascii="Times New Roman" w:hAnsi="Times New Roman" w:cs="Times New Roman"/>
          <w:sz w:val="24"/>
          <w:szCs w:val="24"/>
          <w:lang w:val="en-GB"/>
        </w:rPr>
        <w:t>Program Studi Teknik Pertambangan, Fakultas Teknik, Universitas Islam Bandung, Indonesia</w:t>
      </w:r>
    </w:p>
    <w:p w:rsidR="00C847E5" w:rsidRPr="006149DE" w:rsidRDefault="00C847E5" w:rsidP="008F2102">
      <w:pPr>
        <w:pStyle w:val="ListParagraph"/>
        <w:spacing w:after="0" w:line="240" w:lineRule="auto"/>
        <w:ind w:left="0"/>
        <w:jc w:val="center"/>
        <w:rPr>
          <w:rFonts w:ascii="Times New Roman" w:hAnsi="Times New Roman" w:cs="Times New Roman"/>
          <w:sz w:val="24"/>
          <w:szCs w:val="24"/>
          <w:lang w:val="en-GB"/>
        </w:rPr>
      </w:pPr>
      <w:r w:rsidRPr="006149DE">
        <w:rPr>
          <w:rFonts w:ascii="Times New Roman" w:hAnsi="Times New Roman" w:cs="Times New Roman"/>
          <w:sz w:val="24"/>
          <w:szCs w:val="24"/>
          <w:vertAlign w:val="superscript"/>
          <w:lang w:val="en-GB"/>
        </w:rPr>
        <w:t>*)</w:t>
      </w:r>
      <w:r w:rsidRPr="006149DE">
        <w:rPr>
          <w:rFonts w:ascii="Times New Roman" w:hAnsi="Times New Roman" w:cs="Times New Roman"/>
          <w:sz w:val="24"/>
          <w:szCs w:val="24"/>
          <w:lang w:val="en-GB"/>
        </w:rPr>
        <w:t xml:space="preserve"> </w:t>
      </w:r>
      <w:proofErr w:type="gramStart"/>
      <w:r w:rsidRPr="006149DE">
        <w:rPr>
          <w:rFonts w:ascii="Times New Roman" w:hAnsi="Times New Roman" w:cs="Times New Roman"/>
          <w:sz w:val="24"/>
          <w:szCs w:val="24"/>
          <w:lang w:val="en-GB"/>
        </w:rPr>
        <w:t>Email :</w:t>
      </w:r>
      <w:proofErr w:type="gramEnd"/>
      <w:r w:rsidRPr="006149DE">
        <w:rPr>
          <w:rFonts w:ascii="Times New Roman" w:hAnsi="Times New Roman" w:cs="Times New Roman"/>
          <w:sz w:val="24"/>
          <w:szCs w:val="24"/>
          <w:lang w:val="en-GB"/>
        </w:rPr>
        <w:t xml:space="preserve"> </w:t>
      </w:r>
      <w:hyperlink r:id="rId6" w:history="1">
        <w:r w:rsidRPr="006149DE">
          <w:rPr>
            <w:rStyle w:val="Hyperlink"/>
            <w:rFonts w:ascii="Times New Roman" w:hAnsi="Times New Roman" w:cs="Times New Roman"/>
            <w:i/>
            <w:color w:val="auto"/>
            <w:sz w:val="24"/>
            <w:szCs w:val="24"/>
            <w:u w:val="none"/>
            <w:lang w:val="en-GB"/>
          </w:rPr>
          <w:t>noorfauzi@unisba.ac.id</w:t>
        </w:r>
      </w:hyperlink>
      <w:r w:rsidRPr="006149DE">
        <w:rPr>
          <w:rFonts w:ascii="Times New Roman" w:hAnsi="Times New Roman" w:cs="Times New Roman"/>
          <w:i/>
          <w:sz w:val="24"/>
          <w:szCs w:val="24"/>
          <w:lang w:val="en-GB"/>
        </w:rPr>
        <w:t xml:space="preserve"> / </w:t>
      </w:r>
      <w:hyperlink r:id="rId7" w:history="1">
        <w:r w:rsidRPr="006149DE">
          <w:rPr>
            <w:rStyle w:val="Hyperlink"/>
            <w:rFonts w:ascii="Times New Roman" w:hAnsi="Times New Roman" w:cs="Times New Roman"/>
            <w:i/>
            <w:color w:val="auto"/>
            <w:sz w:val="24"/>
            <w:szCs w:val="24"/>
            <w:u w:val="none"/>
            <w:lang w:val="en-GB"/>
          </w:rPr>
          <w:t>noor_fauzi_isniarno@yahoo.com</w:t>
        </w:r>
      </w:hyperlink>
    </w:p>
    <w:p w:rsidR="00724231" w:rsidRPr="006149DE" w:rsidRDefault="00724231" w:rsidP="008F2102">
      <w:pPr>
        <w:pStyle w:val="ListParagraph"/>
        <w:spacing w:after="0" w:line="240" w:lineRule="auto"/>
        <w:ind w:left="0"/>
        <w:jc w:val="both"/>
        <w:rPr>
          <w:rFonts w:ascii="Times New Roman" w:hAnsi="Times New Roman" w:cs="Times New Roman"/>
          <w:sz w:val="24"/>
          <w:szCs w:val="24"/>
          <w:lang w:val="en-GB"/>
        </w:rPr>
      </w:pPr>
    </w:p>
    <w:p w:rsidR="00724231" w:rsidRPr="008F2102" w:rsidRDefault="00724231" w:rsidP="008F2102">
      <w:pPr>
        <w:pStyle w:val="ListParagraph"/>
        <w:spacing w:after="0" w:line="240" w:lineRule="auto"/>
        <w:ind w:left="0"/>
        <w:jc w:val="center"/>
        <w:rPr>
          <w:rFonts w:ascii="Times New Roman" w:hAnsi="Times New Roman" w:cs="Times New Roman"/>
          <w:b/>
          <w:sz w:val="24"/>
          <w:szCs w:val="24"/>
          <w:lang w:val="en-GB"/>
        </w:rPr>
      </w:pPr>
      <w:r w:rsidRPr="008F2102">
        <w:rPr>
          <w:rFonts w:ascii="Times New Roman" w:hAnsi="Times New Roman" w:cs="Times New Roman"/>
          <w:b/>
          <w:sz w:val="24"/>
          <w:szCs w:val="24"/>
          <w:lang w:val="en-GB"/>
        </w:rPr>
        <w:t>ABSTRAK</w:t>
      </w:r>
    </w:p>
    <w:p w:rsidR="005E0C9B" w:rsidRDefault="005E0C9B" w:rsidP="005E0C9B">
      <w:pPr>
        <w:pStyle w:val="ListParagraph"/>
        <w:spacing w:after="0" w:line="240" w:lineRule="auto"/>
        <w:ind w:left="0"/>
        <w:rPr>
          <w:rFonts w:ascii="Times New Roman" w:hAnsi="Times New Roman" w:cs="Times New Roman"/>
          <w:sz w:val="24"/>
          <w:szCs w:val="24"/>
          <w:lang w:val="en-GB"/>
        </w:rPr>
      </w:pPr>
    </w:p>
    <w:p w:rsidR="005E0C9B" w:rsidRDefault="005E0C9B" w:rsidP="0081473A">
      <w:pPr>
        <w:pStyle w:val="ListParagraph"/>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Produksi timah </w:t>
      </w:r>
      <w:proofErr w:type="gramStart"/>
      <w:r>
        <w:rPr>
          <w:rFonts w:ascii="Times New Roman" w:hAnsi="Times New Roman" w:cs="Times New Roman"/>
          <w:sz w:val="24"/>
          <w:szCs w:val="24"/>
          <w:lang w:val="en-GB"/>
        </w:rPr>
        <w:t>indonesia</w:t>
      </w:r>
      <w:proofErr w:type="gramEnd"/>
      <w:r>
        <w:rPr>
          <w:rFonts w:ascii="Times New Roman" w:hAnsi="Times New Roman" w:cs="Times New Roman"/>
          <w:sz w:val="24"/>
          <w:szCs w:val="24"/>
          <w:lang w:val="en-GB"/>
        </w:rPr>
        <w:t xml:space="preserve"> mencakup sekitar 30% dari permintaan komoditi timah di dunia. Besarnya tingkat permintaan timah di dunia ini serta keterbatasan cadangan sumberdaya alam komoditi timah, mendorong pemanfaatan harus lebih efektif dan efisien. Sehingga perlu banyak dilakukan penelitian dari hulu mulai dari ekplorasi hingga ke hilir sampai proses metalurgi</w:t>
      </w:r>
      <w:r w:rsidR="0081473A">
        <w:rPr>
          <w:rFonts w:ascii="Times New Roman" w:hAnsi="Times New Roman" w:cs="Times New Roman"/>
          <w:sz w:val="24"/>
          <w:szCs w:val="24"/>
          <w:lang w:val="en-GB"/>
        </w:rPr>
        <w:t xml:space="preserve"> serta meningkatkan teknologi dari semua unsur untuk dapat lebih efektif an efisien tersebut. Selain itu juga, harus dilakukan penelitian dalam hal investasi dan kelayakan ekonomi, sehingga ketersediaan cadangan </w:t>
      </w:r>
      <w:proofErr w:type="gramStart"/>
      <w:r w:rsidR="0081473A">
        <w:rPr>
          <w:rFonts w:ascii="Times New Roman" w:hAnsi="Times New Roman" w:cs="Times New Roman"/>
          <w:sz w:val="24"/>
          <w:szCs w:val="24"/>
          <w:lang w:val="en-GB"/>
        </w:rPr>
        <w:t>akan</w:t>
      </w:r>
      <w:proofErr w:type="gramEnd"/>
      <w:r w:rsidR="0081473A">
        <w:rPr>
          <w:rFonts w:ascii="Times New Roman" w:hAnsi="Times New Roman" w:cs="Times New Roman"/>
          <w:sz w:val="24"/>
          <w:szCs w:val="24"/>
          <w:lang w:val="en-GB"/>
        </w:rPr>
        <w:t xml:space="preserve"> komoditi timah dapat berjalan untuk meningkatkan perekonomian bangsa. Banyak hal metode yang dilakukan dalam memodelkan Net Present Value (NPV) yang diproyeksikan untuk mengetahui kelayakan ekonominya dengan menggunakan Discounted Cash Flow (DCF). </w:t>
      </w:r>
      <w:r w:rsidRPr="00B761A6">
        <w:rPr>
          <w:rFonts w:ascii="Times New Roman" w:hAnsi="Times New Roman" w:cs="Times New Roman"/>
          <w:sz w:val="24"/>
          <w:szCs w:val="24"/>
          <w:lang w:val="en-GB"/>
        </w:rPr>
        <w:t>Biaya investasi ektraksi timah menggunakan metode klorinasi basah adalah USD. 1.181.623 untuk tahap pra operasional, USD. 2.084.219 untuk tahap engineering dan USD. 3.602.736 untuk investasi kepemilikan operasional dan upah pekerja. Analisis investasi dengan menggunakan metode Discounted Cash Flow (DCF) dengan asumsi cost of equity sebesar 11,37%, risk free rate sebesar 7,89%, Equity Beta sebesar 100%, Market return sebesar 11,37% dan IRR minimum sebesar 10,37%. Dana yang diinvestasikan dalam ektraksi timah ini adalah USD. 6.868.578 dalam 15 tahun, dengan hasil NPV sebesar USD. -18.943.455, sehingga Internal Rate Return (IRR) sebesar 0,029% dengan IRR minimum sebesar 9</w:t>
      </w:r>
      <w:proofErr w:type="gramStart"/>
      <w:r w:rsidRPr="00B761A6">
        <w:rPr>
          <w:rFonts w:ascii="Times New Roman" w:hAnsi="Times New Roman" w:cs="Times New Roman"/>
          <w:sz w:val="24"/>
          <w:szCs w:val="24"/>
          <w:lang w:val="en-GB"/>
        </w:rPr>
        <w:t>,97</w:t>
      </w:r>
      <w:proofErr w:type="gramEnd"/>
    </w:p>
    <w:p w:rsidR="0081473A" w:rsidRDefault="0081473A" w:rsidP="0081473A">
      <w:pPr>
        <w:pStyle w:val="ListParagraph"/>
        <w:spacing w:after="0" w:line="240" w:lineRule="auto"/>
        <w:ind w:left="0"/>
        <w:jc w:val="both"/>
        <w:rPr>
          <w:rFonts w:ascii="Times New Roman" w:hAnsi="Times New Roman" w:cs="Times New Roman"/>
          <w:sz w:val="24"/>
          <w:szCs w:val="24"/>
          <w:lang w:val="en-GB"/>
        </w:rPr>
      </w:pPr>
    </w:p>
    <w:p w:rsidR="0081473A" w:rsidRPr="006149DE" w:rsidRDefault="0081473A" w:rsidP="0081473A">
      <w:pPr>
        <w:pStyle w:val="ListParagraph"/>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Kata </w:t>
      </w:r>
      <w:proofErr w:type="gramStart"/>
      <w:r>
        <w:rPr>
          <w:rFonts w:ascii="Times New Roman" w:hAnsi="Times New Roman" w:cs="Times New Roman"/>
          <w:sz w:val="24"/>
          <w:szCs w:val="24"/>
          <w:lang w:val="en-GB"/>
        </w:rPr>
        <w:t>Kunci :</w:t>
      </w:r>
      <w:proofErr w:type="gramEnd"/>
      <w:r>
        <w:rPr>
          <w:rFonts w:ascii="Times New Roman" w:hAnsi="Times New Roman" w:cs="Times New Roman"/>
          <w:sz w:val="24"/>
          <w:szCs w:val="24"/>
          <w:lang w:val="en-GB"/>
        </w:rPr>
        <w:t xml:space="preserve"> Timah, Discounted Cash Flow, Investasi</w:t>
      </w:r>
    </w:p>
    <w:p w:rsidR="00047572" w:rsidRPr="006149DE" w:rsidRDefault="00047572" w:rsidP="0081473A">
      <w:pPr>
        <w:pStyle w:val="ListParagraph"/>
        <w:spacing w:after="0" w:line="240" w:lineRule="auto"/>
        <w:ind w:left="0"/>
        <w:rPr>
          <w:rFonts w:ascii="Times New Roman" w:hAnsi="Times New Roman" w:cs="Times New Roman"/>
          <w:sz w:val="24"/>
          <w:szCs w:val="24"/>
          <w:lang w:val="en-GB"/>
        </w:rPr>
      </w:pPr>
    </w:p>
    <w:p w:rsidR="00724231" w:rsidRPr="006149DE" w:rsidRDefault="00724231" w:rsidP="008F2102">
      <w:pPr>
        <w:pStyle w:val="ListParagraph"/>
        <w:spacing w:after="0" w:line="240" w:lineRule="auto"/>
        <w:ind w:left="0"/>
        <w:jc w:val="center"/>
        <w:rPr>
          <w:rFonts w:ascii="Times New Roman" w:hAnsi="Times New Roman" w:cs="Times New Roman"/>
          <w:sz w:val="24"/>
          <w:szCs w:val="24"/>
          <w:lang w:val="en-GB"/>
        </w:rPr>
      </w:pPr>
    </w:p>
    <w:p w:rsidR="00724231" w:rsidRPr="008F2102" w:rsidRDefault="00724231" w:rsidP="008F2102">
      <w:pPr>
        <w:pStyle w:val="ListParagraph"/>
        <w:spacing w:after="0" w:line="240" w:lineRule="auto"/>
        <w:ind w:left="0"/>
        <w:jc w:val="center"/>
        <w:rPr>
          <w:rFonts w:ascii="Times New Roman" w:hAnsi="Times New Roman" w:cs="Times New Roman"/>
          <w:b/>
          <w:sz w:val="24"/>
          <w:szCs w:val="24"/>
          <w:lang w:val="en-GB"/>
        </w:rPr>
      </w:pPr>
      <w:r w:rsidRPr="008F2102">
        <w:rPr>
          <w:rFonts w:ascii="Times New Roman" w:hAnsi="Times New Roman" w:cs="Times New Roman"/>
          <w:b/>
          <w:sz w:val="24"/>
          <w:szCs w:val="24"/>
          <w:lang w:val="en-GB"/>
        </w:rPr>
        <w:t>ABTRACT</w:t>
      </w:r>
    </w:p>
    <w:p w:rsidR="0081473A" w:rsidRPr="0081473A" w:rsidRDefault="0081473A" w:rsidP="0081473A">
      <w:pPr>
        <w:spacing w:after="0" w:line="240" w:lineRule="auto"/>
        <w:jc w:val="both"/>
        <w:rPr>
          <w:rFonts w:ascii="Times New Roman" w:hAnsi="Times New Roman" w:cs="Times New Roman"/>
          <w:sz w:val="24"/>
          <w:szCs w:val="24"/>
          <w:lang w:val="en-GB"/>
        </w:rPr>
      </w:pPr>
      <w:r w:rsidRPr="0081473A">
        <w:rPr>
          <w:rFonts w:ascii="Times New Roman" w:hAnsi="Times New Roman" w:cs="Times New Roman"/>
          <w:sz w:val="24"/>
          <w:szCs w:val="24"/>
          <w:lang w:val="en-GB"/>
        </w:rPr>
        <w:t xml:space="preserve">Indonesian tin production covers about 30% of the demand for tin commodity in the world. The high level of tin demand in the world and the limited reserves of natural resources for the commodity of tin, encourage more effective and efficient utilization. So it is necessary to do a lot of research from upstream from exploration to downstream to metallurgical processes as well as improving the technology of all elements to be more effective and efficient. In addition, research must be carried out in terms of investment and economic feasibility, so that the availability of tin commodity reserves can be carried out to improve the nation's economy. Many methods are used in modeling the projected Net Present Value (NPV) to determine its economic viability by using Discounted Cash Flow (DCF). The investment cost for tin extraction using the wet chlorination method is USD. 1,181,623 for the pre-operational phase, USD. 2,084,219 for the engineering phase and USD. 3,602,736 for investment in operational ownership and workers' wages. Investment analysis using the Discounted Cash Flow (DCF) method assuming a cost of equity of 11.37%, a risk free rate of 7.89%, 100% Equity Beta, 11.37% market return and a minimum IRR </w:t>
      </w:r>
      <w:r w:rsidRPr="0081473A">
        <w:rPr>
          <w:rFonts w:ascii="Times New Roman" w:hAnsi="Times New Roman" w:cs="Times New Roman"/>
          <w:sz w:val="24"/>
          <w:szCs w:val="24"/>
          <w:lang w:val="en-GB"/>
        </w:rPr>
        <w:lastRenderedPageBreak/>
        <w:t>of 10. 37%. The fund invested in this tin extraction is USD. 6,868,578 in 15 years, with an NPV of USD. -18,943,455, so the Internal Rate Return (IRR) is 0.029% with a minimum IRR of 9.97</w:t>
      </w:r>
    </w:p>
    <w:p w:rsidR="0081473A" w:rsidRPr="0081473A" w:rsidRDefault="0081473A" w:rsidP="0081473A">
      <w:pPr>
        <w:spacing w:after="0" w:line="240" w:lineRule="auto"/>
        <w:jc w:val="both"/>
        <w:rPr>
          <w:rFonts w:ascii="Times New Roman" w:hAnsi="Times New Roman" w:cs="Times New Roman"/>
          <w:sz w:val="24"/>
          <w:szCs w:val="24"/>
          <w:lang w:val="en-GB"/>
        </w:rPr>
      </w:pPr>
    </w:p>
    <w:p w:rsidR="00C847E5" w:rsidRPr="0081473A" w:rsidRDefault="0081473A" w:rsidP="0081473A">
      <w:pPr>
        <w:spacing w:after="0" w:line="240" w:lineRule="auto"/>
        <w:jc w:val="both"/>
        <w:rPr>
          <w:rFonts w:ascii="Times New Roman" w:hAnsi="Times New Roman" w:cs="Times New Roman"/>
          <w:sz w:val="24"/>
          <w:szCs w:val="24"/>
          <w:lang w:val="en-GB"/>
        </w:rPr>
      </w:pPr>
      <w:r w:rsidRPr="0081473A">
        <w:rPr>
          <w:rFonts w:ascii="Times New Roman" w:hAnsi="Times New Roman" w:cs="Times New Roman"/>
          <w:sz w:val="24"/>
          <w:szCs w:val="24"/>
          <w:lang w:val="en-GB"/>
        </w:rPr>
        <w:t>Keywords: Tin, Discounted Cash Flow, Investment</w:t>
      </w:r>
    </w:p>
    <w:p w:rsidR="008F2102" w:rsidRPr="0081473A" w:rsidRDefault="008F2102" w:rsidP="0081473A">
      <w:pPr>
        <w:spacing w:after="0" w:line="240" w:lineRule="auto"/>
        <w:jc w:val="both"/>
        <w:rPr>
          <w:rFonts w:ascii="Times New Roman" w:hAnsi="Times New Roman" w:cs="Times New Roman"/>
          <w:sz w:val="24"/>
          <w:szCs w:val="24"/>
          <w:lang w:val="en-GB"/>
        </w:rPr>
      </w:pPr>
      <w:bookmarkStart w:id="0" w:name="_GoBack"/>
      <w:bookmarkEnd w:id="0"/>
    </w:p>
    <w:p w:rsidR="00724231" w:rsidRPr="006149DE" w:rsidRDefault="00724231" w:rsidP="008F2102">
      <w:pPr>
        <w:pStyle w:val="ListParagraph"/>
        <w:numPr>
          <w:ilvl w:val="0"/>
          <w:numId w:val="2"/>
        </w:numPr>
        <w:spacing w:after="0" w:line="240" w:lineRule="auto"/>
        <w:ind w:left="567" w:hanging="567"/>
        <w:jc w:val="both"/>
        <w:rPr>
          <w:rFonts w:ascii="Times New Roman" w:hAnsi="Times New Roman" w:cs="Times New Roman"/>
          <w:b/>
          <w:sz w:val="24"/>
          <w:szCs w:val="24"/>
          <w:lang w:val="en-GB"/>
        </w:rPr>
      </w:pPr>
      <w:r w:rsidRPr="006149DE">
        <w:rPr>
          <w:rFonts w:ascii="Times New Roman" w:hAnsi="Times New Roman" w:cs="Times New Roman"/>
          <w:b/>
          <w:sz w:val="24"/>
          <w:szCs w:val="24"/>
          <w:lang w:val="en-GB"/>
        </w:rPr>
        <w:t>PENDAHULUAN</w:t>
      </w:r>
    </w:p>
    <w:p w:rsidR="00F61709" w:rsidRDefault="00380D21" w:rsidP="00ED2A85">
      <w:pPr>
        <w:spacing w:after="0" w:line="240" w:lineRule="auto"/>
        <w:ind w:firstLine="567"/>
        <w:jc w:val="both"/>
        <w:rPr>
          <w:rFonts w:ascii="Times New Roman" w:hAnsi="Times New Roman" w:cs="Times New Roman"/>
          <w:sz w:val="24"/>
          <w:szCs w:val="24"/>
          <w:lang w:val="en-GB"/>
        </w:rPr>
      </w:pPr>
      <w:r w:rsidRPr="003E7362">
        <w:rPr>
          <w:rFonts w:ascii="Times New Roman" w:hAnsi="Times New Roman" w:cs="Times New Roman"/>
          <w:sz w:val="24"/>
          <w:szCs w:val="24"/>
          <w:lang w:val="en-GB"/>
        </w:rPr>
        <w:t>Penambangan aturan asosiasi adalah salah satu area penelitian paling penting d</w:t>
      </w:r>
      <w:r w:rsidR="003E7362">
        <w:rPr>
          <w:rFonts w:ascii="Times New Roman" w:hAnsi="Times New Roman" w:cs="Times New Roman"/>
          <w:sz w:val="24"/>
          <w:szCs w:val="24"/>
          <w:lang w:val="en-GB"/>
        </w:rPr>
        <w:t>an aktif dalam penambangan data (</w:t>
      </w:r>
      <w:r w:rsidR="003E7362" w:rsidRPr="003E7362">
        <w:rPr>
          <w:rFonts w:ascii="Times New Roman" w:hAnsi="Times New Roman" w:cs="Times New Roman"/>
          <w:sz w:val="24"/>
          <w:szCs w:val="24"/>
          <w:lang w:val="en-GB"/>
        </w:rPr>
        <w:t>Gretel Bernal,</w:t>
      </w:r>
      <w:r w:rsidR="003E7362">
        <w:rPr>
          <w:rFonts w:ascii="Times New Roman" w:hAnsi="Times New Roman" w:cs="Times New Roman"/>
          <w:sz w:val="24"/>
          <w:szCs w:val="24"/>
          <w:lang w:val="en-GB"/>
        </w:rPr>
        <w:t xml:space="preserve"> 2020). </w:t>
      </w:r>
      <w:r w:rsidR="003E7362" w:rsidRPr="003E7362">
        <w:rPr>
          <w:rFonts w:ascii="Times New Roman" w:hAnsi="Times New Roman" w:cs="Times New Roman"/>
          <w:sz w:val="24"/>
          <w:szCs w:val="24"/>
          <w:lang w:val="en-GB"/>
        </w:rPr>
        <w:t xml:space="preserve">Sekitar 85% dari semua timah yang ditambang secara historis dengan berat sekitar 27 juta ton Sn berasal dari beberapa provinsi bijih timah dalam sabuk </w:t>
      </w:r>
      <w:proofErr w:type="gramStart"/>
      <w:r w:rsidR="003E7362" w:rsidRPr="003E7362">
        <w:rPr>
          <w:rFonts w:ascii="Times New Roman" w:hAnsi="Times New Roman" w:cs="Times New Roman"/>
          <w:sz w:val="24"/>
          <w:szCs w:val="24"/>
          <w:lang w:val="en-GB"/>
        </w:rPr>
        <w:t>granit</w:t>
      </w:r>
      <w:proofErr w:type="gramEnd"/>
      <w:r w:rsidR="003E7362" w:rsidRPr="003E7362">
        <w:rPr>
          <w:rFonts w:ascii="Times New Roman" w:hAnsi="Times New Roman" w:cs="Times New Roman"/>
          <w:sz w:val="24"/>
          <w:szCs w:val="24"/>
          <w:lang w:val="en-GB"/>
        </w:rPr>
        <w:t xml:space="preserve"> yang lebih besar. Ini adalah, yang semakin berkurang kepentingannya, Asia Tenggara (Indonesia, Malaysia, Thailand, Myanmar), Cina Selatan, dan Andes</w:t>
      </w:r>
      <w:r w:rsidR="003E7362">
        <w:rPr>
          <w:rFonts w:ascii="Times New Roman" w:hAnsi="Times New Roman" w:cs="Times New Roman"/>
          <w:sz w:val="24"/>
          <w:szCs w:val="24"/>
          <w:lang w:val="en-GB"/>
        </w:rPr>
        <w:t xml:space="preserve"> Tengah (Bolivia, Peru selatan). </w:t>
      </w:r>
      <w:r w:rsidR="003E7362" w:rsidRPr="003E7362">
        <w:rPr>
          <w:rFonts w:ascii="Times New Roman" w:hAnsi="Times New Roman" w:cs="Times New Roman"/>
          <w:sz w:val="24"/>
          <w:szCs w:val="24"/>
          <w:lang w:val="en-GB"/>
        </w:rPr>
        <w:t xml:space="preserve">Endapan bijih timah primer merupakan bagian dari sistem magmatik-hidrotermal yang selalu terkait dengan fase </w:t>
      </w:r>
      <w:proofErr w:type="gramStart"/>
      <w:r w:rsidR="003E7362" w:rsidRPr="003E7362">
        <w:rPr>
          <w:rFonts w:ascii="Times New Roman" w:hAnsi="Times New Roman" w:cs="Times New Roman"/>
          <w:sz w:val="24"/>
          <w:szCs w:val="24"/>
          <w:lang w:val="en-GB"/>
        </w:rPr>
        <w:t>granit</w:t>
      </w:r>
      <w:proofErr w:type="gramEnd"/>
      <w:r w:rsidR="003E7362" w:rsidRPr="003E7362">
        <w:rPr>
          <w:rFonts w:ascii="Times New Roman" w:hAnsi="Times New Roman" w:cs="Times New Roman"/>
          <w:sz w:val="24"/>
          <w:szCs w:val="24"/>
          <w:lang w:val="en-GB"/>
        </w:rPr>
        <w:t xml:space="preserve"> akhir (granit timah, pegmatit, porfiri timah), dan dapat tersebar oleh proses eksogenik dan kemudian membentuk endapan placer dalam beberapa km dari sumber utamanya, karena terhadap massa jenis kasiterit, kekerasan dan stabilitas kimianya. Endapan placer aluvial biasanya merupakan titik awal penambangan timah, dan telah menyediakan setidaknya setengah dari seluruh timah yang ditambang.</w:t>
      </w:r>
      <w:r w:rsidR="003E7362">
        <w:rPr>
          <w:rFonts w:ascii="Times New Roman" w:hAnsi="Times New Roman" w:cs="Times New Roman"/>
          <w:sz w:val="24"/>
          <w:szCs w:val="24"/>
          <w:lang w:val="en-GB"/>
        </w:rPr>
        <w:t xml:space="preserve"> (Berd Lehmann, 2020). </w:t>
      </w:r>
    </w:p>
    <w:p w:rsidR="00F61709" w:rsidRDefault="003E7362" w:rsidP="00ED2A85">
      <w:pPr>
        <w:spacing w:after="0"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Pencarian prospek baru dengan metode eksplorasi</w:t>
      </w:r>
      <w:r w:rsidR="00ED2A85">
        <w:rPr>
          <w:rFonts w:ascii="Times New Roman" w:hAnsi="Times New Roman" w:cs="Times New Roman"/>
          <w:sz w:val="24"/>
          <w:szCs w:val="24"/>
          <w:lang w:val="en-GB"/>
        </w:rPr>
        <w:t xml:space="preserve"> mineralisasi timah, b</w:t>
      </w:r>
      <w:r w:rsidR="00ED2A85" w:rsidRPr="00ED2A85">
        <w:rPr>
          <w:rFonts w:ascii="Times New Roman" w:hAnsi="Times New Roman" w:cs="Times New Roman"/>
          <w:sz w:val="24"/>
          <w:szCs w:val="24"/>
          <w:lang w:val="en-GB"/>
        </w:rPr>
        <w:t>entuk mineralisasi dalam urutan tebal batuan metasedimen dari zaman Paleozoikum. Batuan induk dari argillite yang bermetamorfosis lemah umumnya mengalami pelapukan tropis yang kuat yang menghasilkan urutan profil teroksidasi abu-abu muda</w:t>
      </w:r>
      <w:r w:rsidR="00ED2A85">
        <w:rPr>
          <w:rFonts w:ascii="Times New Roman" w:hAnsi="Times New Roman" w:cs="Times New Roman"/>
          <w:sz w:val="24"/>
          <w:szCs w:val="24"/>
          <w:lang w:val="en-GB"/>
        </w:rPr>
        <w:t xml:space="preserve"> hingga coklat muda yang tebal (Sapari, 2016). Dikarekan keterdapatan mineralisasi timah tidak tersingkap</w:t>
      </w:r>
      <w:r w:rsidR="00ED2A85" w:rsidRPr="00ED2A85">
        <w:rPr>
          <w:rFonts w:ascii="Times New Roman" w:hAnsi="Times New Roman" w:cs="Times New Roman"/>
          <w:sz w:val="24"/>
          <w:szCs w:val="24"/>
          <w:lang w:val="en-GB"/>
        </w:rPr>
        <w:t xml:space="preserve"> dilapang</w:t>
      </w:r>
      <w:r w:rsidR="00ED2A85">
        <w:rPr>
          <w:rFonts w:ascii="Times New Roman" w:hAnsi="Times New Roman" w:cs="Times New Roman"/>
          <w:sz w:val="24"/>
          <w:szCs w:val="24"/>
          <w:lang w:val="en-GB"/>
        </w:rPr>
        <w:t xml:space="preserve">an </w:t>
      </w:r>
      <w:proofErr w:type="gramStart"/>
      <w:r w:rsidR="00ED2A85">
        <w:rPr>
          <w:rFonts w:ascii="Times New Roman" w:hAnsi="Times New Roman" w:cs="Times New Roman"/>
          <w:sz w:val="24"/>
          <w:szCs w:val="24"/>
          <w:lang w:val="en-GB"/>
        </w:rPr>
        <w:t>akan</w:t>
      </w:r>
      <w:proofErr w:type="gramEnd"/>
      <w:r w:rsidR="00ED2A85">
        <w:rPr>
          <w:rFonts w:ascii="Times New Roman" w:hAnsi="Times New Roman" w:cs="Times New Roman"/>
          <w:sz w:val="24"/>
          <w:szCs w:val="24"/>
          <w:lang w:val="en-GB"/>
        </w:rPr>
        <w:t xml:space="preserve"> membuat kesulitan dalam </w:t>
      </w:r>
      <w:r w:rsidR="00ED2A85" w:rsidRPr="00ED2A85">
        <w:rPr>
          <w:rFonts w:ascii="Times New Roman" w:hAnsi="Times New Roman" w:cs="Times New Roman"/>
          <w:sz w:val="24"/>
          <w:szCs w:val="24"/>
          <w:lang w:val="en-GB"/>
        </w:rPr>
        <w:t xml:space="preserve">menginterpretasi data </w:t>
      </w:r>
      <w:r w:rsidR="00ED2A85">
        <w:rPr>
          <w:rFonts w:ascii="Times New Roman" w:hAnsi="Times New Roman" w:cs="Times New Roman"/>
          <w:sz w:val="24"/>
          <w:szCs w:val="24"/>
          <w:lang w:val="en-GB"/>
        </w:rPr>
        <w:t xml:space="preserve">geofisika (Noor Fauzi Isniarno, 2020). </w:t>
      </w:r>
      <w:r w:rsidR="00ED2A85" w:rsidRPr="00ED2A85">
        <w:rPr>
          <w:rFonts w:ascii="Times New Roman" w:hAnsi="Times New Roman" w:cs="Times New Roman"/>
          <w:sz w:val="24"/>
          <w:szCs w:val="24"/>
          <w:lang w:val="en-GB"/>
        </w:rPr>
        <w:t>Cassiterite, bijih utama timah, mengandung niobium dan tantalum dalam jumlah besar, yang dibuang ke terak peleburan timah. Oleh karena itu, terak timah harus dianggap sebagai sumber niobium dan tantalum yang penting, terutama bila cadangan bijih utama kedua logam ini di alam sangat terbatas</w:t>
      </w:r>
      <w:r w:rsidR="007D2290">
        <w:rPr>
          <w:rFonts w:ascii="Times New Roman" w:hAnsi="Times New Roman" w:cs="Times New Roman"/>
          <w:sz w:val="24"/>
          <w:szCs w:val="24"/>
          <w:lang w:val="en-GB"/>
        </w:rPr>
        <w:t xml:space="preserve"> (Eduardo, 2008). </w:t>
      </w:r>
    </w:p>
    <w:p w:rsidR="003E7362" w:rsidRDefault="007D2290" w:rsidP="00ED2A85">
      <w:pPr>
        <w:spacing w:after="0" w:line="240" w:lineRule="auto"/>
        <w:ind w:firstLine="567"/>
        <w:jc w:val="both"/>
        <w:rPr>
          <w:rFonts w:ascii="Times New Roman" w:hAnsi="Times New Roman" w:cs="Times New Roman"/>
          <w:sz w:val="24"/>
          <w:szCs w:val="24"/>
          <w:lang w:val="en-GB"/>
        </w:rPr>
      </w:pPr>
      <w:r w:rsidRPr="007D2290">
        <w:rPr>
          <w:rFonts w:ascii="Times New Roman" w:hAnsi="Times New Roman" w:cs="Times New Roman"/>
          <w:sz w:val="24"/>
          <w:szCs w:val="24"/>
          <w:lang w:val="en-GB"/>
        </w:rPr>
        <w:t>Sebagai metode metalurgi yang sangat efektif untuk memproses mineral logam kompleks, metalurgi Klorinasi telah banyak digun</w:t>
      </w:r>
      <w:r>
        <w:rPr>
          <w:rFonts w:ascii="Times New Roman" w:hAnsi="Times New Roman" w:cs="Times New Roman"/>
          <w:sz w:val="24"/>
          <w:szCs w:val="24"/>
          <w:lang w:val="en-GB"/>
        </w:rPr>
        <w:t xml:space="preserve">akan dalam industri metalurgi (Zhenxing, 2020). Sehingga, selain dari sisi teknik mengenai pertambangan baik dari hulu ke hilir, analisis investasi dalam pertambangan adalah sesuatu hal yang penting. </w:t>
      </w:r>
      <w:r w:rsidRPr="007D2290">
        <w:rPr>
          <w:rFonts w:ascii="Times New Roman" w:hAnsi="Times New Roman" w:cs="Times New Roman"/>
          <w:sz w:val="24"/>
          <w:szCs w:val="24"/>
          <w:lang w:val="en-GB"/>
        </w:rPr>
        <w:t>Tujuan k</w:t>
      </w:r>
      <w:r w:rsidR="00F61709">
        <w:rPr>
          <w:rFonts w:ascii="Times New Roman" w:hAnsi="Times New Roman" w:cs="Times New Roman"/>
          <w:sz w:val="24"/>
          <w:szCs w:val="24"/>
          <w:lang w:val="en-GB"/>
        </w:rPr>
        <w:t>husus dari analisis investasi dalam suatu negara adalah</w:t>
      </w:r>
      <w:r w:rsidRPr="007D2290">
        <w:rPr>
          <w:rFonts w:ascii="Times New Roman" w:hAnsi="Times New Roman" w:cs="Times New Roman"/>
          <w:sz w:val="24"/>
          <w:szCs w:val="24"/>
          <w:lang w:val="en-GB"/>
        </w:rPr>
        <w:t xml:space="preserve"> untuk membawa dukungan empiris pada pandangan alternatif tentang daya saing pertambangan, yang menyoroti peran kunci dari iklim investasi </w:t>
      </w:r>
      <w:r w:rsidR="00F61709">
        <w:rPr>
          <w:rFonts w:ascii="Times New Roman" w:hAnsi="Times New Roman" w:cs="Times New Roman"/>
          <w:sz w:val="24"/>
          <w:szCs w:val="24"/>
          <w:lang w:val="en-GB"/>
        </w:rPr>
        <w:t>negara (</w:t>
      </w:r>
      <w:r w:rsidR="00F61709" w:rsidRPr="00F61709">
        <w:rPr>
          <w:rFonts w:ascii="Times New Roman" w:hAnsi="Times New Roman" w:cs="Times New Roman"/>
          <w:sz w:val="24"/>
          <w:szCs w:val="24"/>
          <w:lang w:val="en-GB"/>
        </w:rPr>
        <w:t>Joaquín</w:t>
      </w:r>
      <w:r w:rsidR="00F61709">
        <w:rPr>
          <w:rFonts w:ascii="Times New Roman" w:hAnsi="Times New Roman" w:cs="Times New Roman"/>
          <w:sz w:val="24"/>
          <w:szCs w:val="24"/>
          <w:lang w:val="en-GB"/>
        </w:rPr>
        <w:t xml:space="preserve">, 2017). </w:t>
      </w:r>
      <w:r w:rsidR="00F61709" w:rsidRPr="00F61709">
        <w:rPr>
          <w:rFonts w:ascii="Times New Roman" w:hAnsi="Times New Roman" w:cs="Times New Roman"/>
          <w:sz w:val="24"/>
          <w:szCs w:val="24"/>
          <w:lang w:val="en-GB"/>
        </w:rPr>
        <w:t xml:space="preserve">Dengan menggunakan skenario penggunaan individu, kami menghasilkan model </w:t>
      </w:r>
      <w:r w:rsidR="00F61709">
        <w:rPr>
          <w:rFonts w:ascii="Times New Roman" w:hAnsi="Times New Roman" w:cs="Times New Roman"/>
          <w:sz w:val="24"/>
          <w:szCs w:val="24"/>
          <w:lang w:val="en-GB"/>
        </w:rPr>
        <w:t xml:space="preserve">Discounted Cash </w:t>
      </w:r>
      <w:proofErr w:type="gramStart"/>
      <w:r w:rsidR="00F61709">
        <w:rPr>
          <w:rFonts w:ascii="Times New Roman" w:hAnsi="Times New Roman" w:cs="Times New Roman"/>
          <w:sz w:val="24"/>
          <w:szCs w:val="24"/>
          <w:lang w:val="en-GB"/>
        </w:rPr>
        <w:t xml:space="preserve">Flow </w:t>
      </w:r>
      <w:r w:rsidR="00F61709" w:rsidRPr="00F61709">
        <w:rPr>
          <w:rFonts w:ascii="Times New Roman" w:hAnsi="Times New Roman" w:cs="Times New Roman"/>
          <w:sz w:val="24"/>
          <w:szCs w:val="24"/>
          <w:lang w:val="en-GB"/>
        </w:rPr>
        <w:t xml:space="preserve"> (</w:t>
      </w:r>
      <w:proofErr w:type="gramEnd"/>
      <w:r w:rsidR="00F61709" w:rsidRPr="00F61709">
        <w:rPr>
          <w:rFonts w:ascii="Times New Roman" w:hAnsi="Times New Roman" w:cs="Times New Roman"/>
          <w:sz w:val="24"/>
          <w:szCs w:val="24"/>
          <w:lang w:val="en-GB"/>
        </w:rPr>
        <w:t>DCF) daripada model utilitas untuk memperkirakan tingkat diskonto, bukan nilai s</w:t>
      </w:r>
      <w:r w:rsidR="00F61709">
        <w:rPr>
          <w:rFonts w:ascii="Times New Roman" w:hAnsi="Times New Roman" w:cs="Times New Roman"/>
          <w:sz w:val="24"/>
          <w:szCs w:val="24"/>
          <w:lang w:val="en-GB"/>
        </w:rPr>
        <w:t>ebagian, dari konsumen individu (Ungki Lee, 2020)</w:t>
      </w:r>
    </w:p>
    <w:p w:rsidR="000B3F89" w:rsidRPr="00F61709" w:rsidRDefault="00F61709" w:rsidP="00F61709">
      <w:pPr>
        <w:spacing w:after="0"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Sehingga perlu dilakukan analisi mengenai industry pertambangan dalam hal ini timah, dengan menggunakan teknologi klorinasi basahnya untuk mengektraksi timah yang telah ditemukan pada tahap proses ekplorasi dengan menggunakan berbagai metode. Analisis ini tidak hanya berupa dari kesiapan teknologi </w:t>
      </w:r>
      <w:proofErr w:type="gramStart"/>
      <w:r>
        <w:rPr>
          <w:rFonts w:ascii="Times New Roman" w:hAnsi="Times New Roman" w:cs="Times New Roman"/>
          <w:sz w:val="24"/>
          <w:szCs w:val="24"/>
          <w:lang w:val="en-GB"/>
        </w:rPr>
        <w:t>akan</w:t>
      </w:r>
      <w:proofErr w:type="gramEnd"/>
      <w:r>
        <w:rPr>
          <w:rFonts w:ascii="Times New Roman" w:hAnsi="Times New Roman" w:cs="Times New Roman"/>
          <w:sz w:val="24"/>
          <w:szCs w:val="24"/>
          <w:lang w:val="en-GB"/>
        </w:rPr>
        <w:t xml:space="preserve"> tetapi harus dilihat dari sisi investasi dan kelayakan ekonomi. Untuk melakukan analisis ini maka dilakukakan dengan menggunakan discounted cash flow, supaya mendapatkan model analisis investasi dan ekonomi yang sesuai dengan ketersedian sumberdaya dan teknologi.</w:t>
      </w:r>
    </w:p>
    <w:p w:rsidR="000B3F89" w:rsidRPr="006149DE" w:rsidRDefault="000B3F89" w:rsidP="008F2102">
      <w:pPr>
        <w:spacing w:after="0" w:line="240" w:lineRule="auto"/>
        <w:jc w:val="both"/>
        <w:rPr>
          <w:rFonts w:ascii="Times New Roman" w:hAnsi="Times New Roman" w:cs="Times New Roman"/>
          <w:b/>
          <w:sz w:val="24"/>
          <w:szCs w:val="24"/>
          <w:lang w:val="en-GB"/>
        </w:rPr>
      </w:pPr>
    </w:p>
    <w:p w:rsidR="00724231" w:rsidRPr="006149DE" w:rsidRDefault="00724231" w:rsidP="008F2102">
      <w:pPr>
        <w:pStyle w:val="ListParagraph"/>
        <w:numPr>
          <w:ilvl w:val="0"/>
          <w:numId w:val="2"/>
        </w:numPr>
        <w:spacing w:after="0" w:line="240" w:lineRule="auto"/>
        <w:ind w:left="567" w:hanging="567"/>
        <w:jc w:val="both"/>
        <w:rPr>
          <w:rFonts w:ascii="Times New Roman" w:hAnsi="Times New Roman" w:cs="Times New Roman"/>
          <w:b/>
          <w:sz w:val="24"/>
          <w:szCs w:val="24"/>
          <w:lang w:val="en-GB"/>
        </w:rPr>
      </w:pPr>
      <w:r w:rsidRPr="006149DE">
        <w:rPr>
          <w:rFonts w:ascii="Times New Roman" w:hAnsi="Times New Roman" w:cs="Times New Roman"/>
          <w:b/>
          <w:sz w:val="24"/>
          <w:szCs w:val="24"/>
          <w:lang w:val="en-GB"/>
        </w:rPr>
        <w:t>METODE PENELITIAN</w:t>
      </w:r>
    </w:p>
    <w:p w:rsidR="00724231" w:rsidRDefault="00342B9B" w:rsidP="008F2102">
      <w:pPr>
        <w:spacing w:after="0" w:line="240" w:lineRule="auto"/>
        <w:ind w:firstLine="567"/>
        <w:jc w:val="both"/>
        <w:rPr>
          <w:rFonts w:ascii="Times New Roman" w:hAnsi="Times New Roman" w:cs="Times New Roman"/>
          <w:sz w:val="24"/>
          <w:szCs w:val="24"/>
          <w:lang w:val="en-GB"/>
        </w:rPr>
      </w:pPr>
      <w:r w:rsidRPr="006149DE">
        <w:rPr>
          <w:rFonts w:ascii="Times New Roman" w:hAnsi="Times New Roman" w:cs="Times New Roman"/>
          <w:sz w:val="24"/>
          <w:szCs w:val="24"/>
          <w:lang w:val="en-GB"/>
        </w:rPr>
        <w:t xml:space="preserve">Pengolahan dan peleburan bijih timah yang dihasilkan tambang laut dan tambang darat dengan kadar Sn yang berkisar antara 20-30% diproses di Pusat Pencucian Bijih Timah untuk </w:t>
      </w:r>
      <w:r w:rsidRPr="006149DE">
        <w:rPr>
          <w:rFonts w:ascii="Times New Roman" w:hAnsi="Times New Roman" w:cs="Times New Roman"/>
          <w:sz w:val="24"/>
          <w:szCs w:val="24"/>
          <w:lang w:val="en-GB"/>
        </w:rPr>
        <w:lastRenderedPageBreak/>
        <w:t xml:space="preserve">dipisahkan dari mineral ikutan lainnya dan ditingkatkan kadarnya hingga mencapai 72- 74% sebagai syarat utama peleburan. Proses peningkatan </w:t>
      </w:r>
      <w:proofErr w:type="gramStart"/>
      <w:r w:rsidRPr="006149DE">
        <w:rPr>
          <w:rFonts w:ascii="Times New Roman" w:hAnsi="Times New Roman" w:cs="Times New Roman"/>
          <w:sz w:val="24"/>
          <w:szCs w:val="24"/>
          <w:lang w:val="en-GB"/>
        </w:rPr>
        <w:t>kadar</w:t>
      </w:r>
      <w:proofErr w:type="gramEnd"/>
      <w:r w:rsidRPr="006149DE">
        <w:rPr>
          <w:rFonts w:ascii="Times New Roman" w:hAnsi="Times New Roman" w:cs="Times New Roman"/>
          <w:sz w:val="24"/>
          <w:szCs w:val="24"/>
          <w:lang w:val="en-GB"/>
        </w:rPr>
        <w:t xml:space="preserve"> bijih timah yang berasal dari penambangan di laut maupun di darat diperlukan untuk mendapatkan produk akhir berupa logam timah berkualitas dengan kadar Sn yang tinggi dengan kandungan pengotor (impurities) yang rendah. Proses pembentukan bijih timah (Sn) berasal dari magma cair yang mengandung mineral kasiterit (Sn02).Proses ekstraksi Sn dari bijih besi dilakukan dengan proses hidrometalurgi yaitu ekstraksi menggunakan asam klorida dan asam organic (asam asetat dan asam oksalat). Berdasarkan hasil karakterisasi awal bahwa pada bijih batu besi untuk sampel skran menunjukkan Sn terlibrasi pada ukuran butir -325# sehingga dilakukan 2 proses yaitu dengan tahapan benefisiasi melalui pemisahan berdasarkan sifat magnet untuk memisahkan pengotor berupa Fe (besi) yang jumlahnya cukup besar yaitu 29,69%.</w:t>
      </w:r>
    </w:p>
    <w:p w:rsidR="00380D21" w:rsidRDefault="00380D21" w:rsidP="008F2102">
      <w:pPr>
        <w:spacing w:after="0" w:line="240" w:lineRule="auto"/>
        <w:ind w:firstLine="567"/>
        <w:jc w:val="both"/>
        <w:rPr>
          <w:rFonts w:ascii="Times New Roman" w:hAnsi="Times New Roman" w:cs="Times New Roman"/>
          <w:sz w:val="24"/>
          <w:szCs w:val="24"/>
          <w:lang w:val="en-GB"/>
        </w:rPr>
      </w:pPr>
      <w:r w:rsidRPr="00380D21">
        <w:rPr>
          <w:rFonts w:ascii="Times New Roman" w:hAnsi="Times New Roman" w:cs="Times New Roman"/>
          <w:sz w:val="24"/>
          <w:szCs w:val="24"/>
          <w:lang w:val="en-GB"/>
        </w:rPr>
        <w:t xml:space="preserve">Dalam menghasilkan timah, bijih timah yang terdapat dalam mineral kasiterit didapatkan melalui proses penambangan. Proses penambangan dapat dilakukan dengan beberapa </w:t>
      </w:r>
      <w:proofErr w:type="gramStart"/>
      <w:r w:rsidRPr="00380D21">
        <w:rPr>
          <w:rFonts w:ascii="Times New Roman" w:hAnsi="Times New Roman" w:cs="Times New Roman"/>
          <w:sz w:val="24"/>
          <w:szCs w:val="24"/>
          <w:lang w:val="en-GB"/>
        </w:rPr>
        <w:t>cara</w:t>
      </w:r>
      <w:proofErr w:type="gramEnd"/>
      <w:r w:rsidRPr="00380D21">
        <w:rPr>
          <w:rFonts w:ascii="Times New Roman" w:hAnsi="Times New Roman" w:cs="Times New Roman"/>
          <w:sz w:val="24"/>
          <w:szCs w:val="24"/>
          <w:lang w:val="en-GB"/>
        </w:rPr>
        <w:t xml:space="preserve"> tergantung sumber penambangan bijih timah. Penambangan pada alluvial lepas pantai menggunakan kapal keruk dan Kapal Isap Produksi (KIP). Sementara, pada alluvial darat, penambangan dilakukan melalui sistem hidraulicking atau pompa semprot (gravel pump) dan mesin excavator. Dalam melakukan penambangan, PT Timah kerap menggunakan metode semprot untuk penambangan alluvial darat dan menggunakan kapal keruk dan Kapal Isap Produksi (KIP).</w:t>
      </w:r>
    </w:p>
    <w:p w:rsidR="00380D21" w:rsidRDefault="00380D21" w:rsidP="00380D21">
      <w:pPr>
        <w:spacing w:after="0" w:line="240" w:lineRule="auto"/>
        <w:jc w:val="both"/>
        <w:rPr>
          <w:rFonts w:ascii="Times New Roman" w:hAnsi="Times New Roman" w:cs="Times New Roman"/>
          <w:sz w:val="24"/>
          <w:szCs w:val="24"/>
          <w:lang w:val="en-GB"/>
        </w:rPr>
      </w:pPr>
    </w:p>
    <w:p w:rsidR="00380D21" w:rsidRDefault="00380D21" w:rsidP="00380D21">
      <w:pPr>
        <w:spacing w:after="0" w:line="240" w:lineRule="auto"/>
        <w:jc w:val="center"/>
        <w:rPr>
          <w:rFonts w:ascii="Times New Roman" w:hAnsi="Times New Roman" w:cs="Times New Roman"/>
          <w:sz w:val="24"/>
          <w:szCs w:val="24"/>
          <w:lang w:val="en-GB"/>
        </w:rPr>
      </w:pPr>
      <w:r>
        <w:rPr>
          <w:rFonts w:ascii="Arial" w:hAnsi="Arial" w:cs="Arial"/>
          <w:noProof/>
          <w:sz w:val="20"/>
          <w:szCs w:val="20"/>
        </w:rPr>
        <w:drawing>
          <wp:inline distT="0" distB="0" distL="0" distR="0">
            <wp:extent cx="2187736" cy="2581275"/>
            <wp:effectExtent l="19050" t="19050" r="222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094" cy="2595856"/>
                    </a:xfrm>
                    <a:prstGeom prst="rect">
                      <a:avLst/>
                    </a:prstGeom>
                    <a:noFill/>
                    <a:ln w="19050" cmpd="sng">
                      <a:solidFill>
                        <a:srgbClr val="000000"/>
                      </a:solidFill>
                      <a:miter lim="800000"/>
                      <a:headEnd/>
                      <a:tailEnd/>
                    </a:ln>
                    <a:effectLst/>
                  </pic:spPr>
                </pic:pic>
              </a:graphicData>
            </a:graphic>
          </wp:inline>
        </w:drawing>
      </w:r>
    </w:p>
    <w:p w:rsidR="00380D21" w:rsidRDefault="00380D21" w:rsidP="00380D21">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Gambar 1. Aktivitas Penambangan Terpadu</w:t>
      </w:r>
    </w:p>
    <w:p w:rsidR="00380D21" w:rsidRDefault="00380D21" w:rsidP="00380D21">
      <w:pPr>
        <w:spacing w:after="0" w:line="240" w:lineRule="auto"/>
        <w:jc w:val="both"/>
        <w:rPr>
          <w:rFonts w:ascii="Times New Roman" w:hAnsi="Times New Roman" w:cs="Times New Roman"/>
          <w:sz w:val="24"/>
          <w:szCs w:val="24"/>
          <w:lang w:val="en-GB"/>
        </w:rPr>
      </w:pPr>
    </w:p>
    <w:p w:rsidR="00380D21" w:rsidRDefault="00380D21" w:rsidP="00380D21">
      <w:pPr>
        <w:spacing w:after="0" w:line="240" w:lineRule="auto"/>
        <w:jc w:val="both"/>
        <w:rPr>
          <w:rFonts w:ascii="Times New Roman" w:hAnsi="Times New Roman" w:cs="Times New Roman"/>
          <w:sz w:val="24"/>
          <w:szCs w:val="24"/>
          <w:lang w:val="en-GB"/>
        </w:rPr>
      </w:pPr>
    </w:p>
    <w:p w:rsidR="00380D21" w:rsidRDefault="00380D21" w:rsidP="00380D21">
      <w:pPr>
        <w:spacing w:after="0" w:line="240" w:lineRule="auto"/>
        <w:jc w:val="both"/>
        <w:rPr>
          <w:rFonts w:ascii="Times New Roman" w:hAnsi="Times New Roman" w:cs="Times New Roman"/>
          <w:sz w:val="24"/>
          <w:szCs w:val="24"/>
          <w:lang w:val="en-GB"/>
        </w:rPr>
      </w:pPr>
    </w:p>
    <w:p w:rsidR="000B3F89" w:rsidRPr="006149DE" w:rsidRDefault="000B3F89" w:rsidP="008F2102">
      <w:pPr>
        <w:spacing w:after="0" w:line="240" w:lineRule="auto"/>
        <w:ind w:firstLine="567"/>
        <w:jc w:val="both"/>
        <w:rPr>
          <w:rFonts w:ascii="Times New Roman" w:hAnsi="Times New Roman" w:cs="Times New Roman"/>
          <w:sz w:val="24"/>
          <w:szCs w:val="24"/>
          <w:lang w:val="en-GB"/>
        </w:rPr>
      </w:pPr>
      <w:r w:rsidRPr="006149DE">
        <w:rPr>
          <w:rFonts w:ascii="Times New Roman" w:hAnsi="Times New Roman" w:cs="Times New Roman"/>
          <w:sz w:val="24"/>
          <w:szCs w:val="24"/>
          <w:lang w:val="en-GB"/>
        </w:rPr>
        <w:t xml:space="preserve">Cash Flow (Aliran Kas) adalah aliran pemasukan dan pengeluaran uang yang terjadi selama </w:t>
      </w:r>
      <w:proofErr w:type="gramStart"/>
      <w:r w:rsidRPr="006149DE">
        <w:rPr>
          <w:rFonts w:ascii="Times New Roman" w:hAnsi="Times New Roman" w:cs="Times New Roman"/>
          <w:sz w:val="24"/>
          <w:szCs w:val="24"/>
          <w:lang w:val="en-GB"/>
        </w:rPr>
        <w:t>periode</w:t>
      </w:r>
      <w:proofErr w:type="gramEnd"/>
      <w:r w:rsidRPr="006149DE">
        <w:rPr>
          <w:rFonts w:ascii="Times New Roman" w:hAnsi="Times New Roman" w:cs="Times New Roman"/>
          <w:sz w:val="24"/>
          <w:szCs w:val="24"/>
          <w:lang w:val="en-GB"/>
        </w:rPr>
        <w:t xml:space="preserve"> operasi (Stermole &amp; Stermole, 2000). Analisis aliran kas penting dilakukan untuk mengetahui potensi pendapatan pada masa sekarang dan pada masa yang </w:t>
      </w:r>
      <w:proofErr w:type="gramStart"/>
      <w:r w:rsidRPr="006149DE">
        <w:rPr>
          <w:rFonts w:ascii="Times New Roman" w:hAnsi="Times New Roman" w:cs="Times New Roman"/>
          <w:sz w:val="24"/>
          <w:szCs w:val="24"/>
          <w:lang w:val="en-GB"/>
        </w:rPr>
        <w:t>akan</w:t>
      </w:r>
      <w:proofErr w:type="gramEnd"/>
      <w:r w:rsidRPr="006149DE">
        <w:rPr>
          <w:rFonts w:ascii="Times New Roman" w:hAnsi="Times New Roman" w:cs="Times New Roman"/>
          <w:sz w:val="24"/>
          <w:szCs w:val="24"/>
          <w:lang w:val="en-GB"/>
        </w:rPr>
        <w:t xml:space="preserve"> datang pada suatu kegiatan pertambangan. Analisis Discounted Cash Flow (DCF) merupakan analisis yang berhubungan dengan pendapatan atau keuntungan yang ditimbulkan karena adanya pembelanjaan dan atau investasi yang memperhitungkan nilai waktu dari uang dan interest rate. </w:t>
      </w:r>
    </w:p>
    <w:p w:rsidR="000B3F89" w:rsidRPr="006149DE" w:rsidRDefault="000B3F89" w:rsidP="008F2102">
      <w:pPr>
        <w:spacing w:after="0" w:line="240" w:lineRule="auto"/>
        <w:ind w:firstLine="567"/>
        <w:jc w:val="both"/>
        <w:rPr>
          <w:rFonts w:ascii="Times New Roman" w:hAnsi="Times New Roman" w:cs="Times New Roman"/>
          <w:sz w:val="24"/>
          <w:szCs w:val="24"/>
          <w:lang w:val="en-GB"/>
        </w:rPr>
      </w:pPr>
      <w:r w:rsidRPr="006149DE">
        <w:rPr>
          <w:rFonts w:ascii="Times New Roman" w:hAnsi="Times New Roman" w:cs="Times New Roman"/>
          <w:sz w:val="24"/>
          <w:szCs w:val="24"/>
          <w:lang w:val="en-GB"/>
        </w:rPr>
        <w:t xml:space="preserve">Depresiasi dan amortisasi bukanlah pengeluaran kas, melainkan sebuah mekanisme perhitungan akuntansi untuk memperkirakan nilai asset yang kemudian di distribusikan selama </w:t>
      </w:r>
      <w:r w:rsidRPr="006149DE">
        <w:rPr>
          <w:rFonts w:ascii="Times New Roman" w:hAnsi="Times New Roman" w:cs="Times New Roman"/>
          <w:sz w:val="24"/>
          <w:szCs w:val="24"/>
          <w:lang w:val="en-GB"/>
        </w:rPr>
        <w:lastRenderedPageBreak/>
        <w:t xml:space="preserve">masa guna aset tersebut. Depresiasi dianggap sebagai suatu pengeluaran yang dapat dipotong dari bagian yang </w:t>
      </w:r>
      <w:proofErr w:type="gramStart"/>
      <w:r w:rsidRPr="006149DE">
        <w:rPr>
          <w:rFonts w:ascii="Times New Roman" w:hAnsi="Times New Roman" w:cs="Times New Roman"/>
          <w:sz w:val="24"/>
          <w:szCs w:val="24"/>
          <w:lang w:val="en-GB"/>
        </w:rPr>
        <w:t>akan</w:t>
      </w:r>
      <w:proofErr w:type="gramEnd"/>
      <w:r w:rsidRPr="006149DE">
        <w:rPr>
          <w:rFonts w:ascii="Times New Roman" w:hAnsi="Times New Roman" w:cs="Times New Roman"/>
          <w:sz w:val="24"/>
          <w:szCs w:val="24"/>
          <w:lang w:val="en-GB"/>
        </w:rPr>
        <w:t xml:space="preserve"> dikenakan pajak. Dalam analisis kelayakan ekonomi tambang yang digunakan pada penelitian ini menggunakan kriteria-kriteria keuangan yaitu Net Present Value (NPV), Internal Rate of Return (IRR), dan Payback Periode (PBP).</w:t>
      </w:r>
    </w:p>
    <w:p w:rsidR="00342B9B" w:rsidRPr="006149DE" w:rsidRDefault="00342B9B" w:rsidP="008F2102">
      <w:pPr>
        <w:spacing w:after="0" w:line="240" w:lineRule="auto"/>
        <w:ind w:firstLine="567"/>
        <w:jc w:val="both"/>
        <w:rPr>
          <w:rFonts w:ascii="Times New Roman" w:hAnsi="Times New Roman" w:cs="Times New Roman"/>
          <w:sz w:val="24"/>
          <w:szCs w:val="24"/>
          <w:lang w:val="en-GB"/>
        </w:rPr>
      </w:pPr>
    </w:p>
    <w:p w:rsidR="00724231" w:rsidRPr="006149DE" w:rsidRDefault="00724231" w:rsidP="008F2102">
      <w:pPr>
        <w:pStyle w:val="ListParagraph"/>
        <w:numPr>
          <w:ilvl w:val="0"/>
          <w:numId w:val="2"/>
        </w:numPr>
        <w:spacing w:after="0" w:line="240" w:lineRule="auto"/>
        <w:ind w:left="567" w:hanging="567"/>
        <w:jc w:val="both"/>
        <w:rPr>
          <w:rFonts w:ascii="Times New Roman" w:hAnsi="Times New Roman" w:cs="Times New Roman"/>
          <w:b/>
          <w:sz w:val="24"/>
          <w:szCs w:val="24"/>
          <w:lang w:val="en-GB"/>
        </w:rPr>
      </w:pPr>
      <w:r w:rsidRPr="006149DE">
        <w:rPr>
          <w:rFonts w:ascii="Times New Roman" w:hAnsi="Times New Roman" w:cs="Times New Roman"/>
          <w:b/>
          <w:sz w:val="24"/>
          <w:szCs w:val="24"/>
          <w:lang w:val="en-GB"/>
        </w:rPr>
        <w:t>HASIL DAN PEMBAHASAN</w:t>
      </w:r>
    </w:p>
    <w:p w:rsidR="00724231" w:rsidRPr="006149DE" w:rsidRDefault="006149DE" w:rsidP="008F2102">
      <w:pPr>
        <w:spacing w:after="0" w:line="240" w:lineRule="auto"/>
        <w:ind w:firstLine="567"/>
        <w:jc w:val="both"/>
        <w:rPr>
          <w:rFonts w:ascii="Times New Roman" w:hAnsi="Times New Roman" w:cs="Times New Roman"/>
          <w:sz w:val="24"/>
          <w:szCs w:val="24"/>
          <w:lang w:val="en-GB"/>
        </w:rPr>
      </w:pPr>
      <w:r w:rsidRPr="006149DE">
        <w:rPr>
          <w:rFonts w:ascii="Times New Roman" w:hAnsi="Times New Roman" w:cs="Times New Roman"/>
          <w:sz w:val="24"/>
          <w:szCs w:val="24"/>
          <w:lang w:val="en-GB"/>
        </w:rPr>
        <w:t xml:space="preserve">Timah yang direncanakan </w:t>
      </w:r>
      <w:proofErr w:type="gramStart"/>
      <w:r w:rsidRPr="006149DE">
        <w:rPr>
          <w:rFonts w:ascii="Times New Roman" w:hAnsi="Times New Roman" w:cs="Times New Roman"/>
          <w:sz w:val="24"/>
          <w:szCs w:val="24"/>
          <w:lang w:val="en-GB"/>
        </w:rPr>
        <w:t>akan</w:t>
      </w:r>
      <w:proofErr w:type="gramEnd"/>
      <w:r w:rsidRPr="006149DE">
        <w:rPr>
          <w:rFonts w:ascii="Times New Roman" w:hAnsi="Times New Roman" w:cs="Times New Roman"/>
          <w:sz w:val="24"/>
          <w:szCs w:val="24"/>
          <w:lang w:val="en-GB"/>
        </w:rPr>
        <w:t xml:space="preserve"> diproduksi disesuaikan rencana penjualan, yaitu sebesar 20000 ton/tahun selama 15 tahun. Peralatan utama dan pendukung kegiatan pengolahan timah yang digunakan dengan memenuhi beberapa kriteria utama yang harus dipenuhi </w:t>
      </w:r>
      <w:proofErr w:type="gramStart"/>
      <w:r w:rsidRPr="006149DE">
        <w:rPr>
          <w:rFonts w:ascii="Times New Roman" w:hAnsi="Times New Roman" w:cs="Times New Roman"/>
          <w:sz w:val="24"/>
          <w:szCs w:val="24"/>
          <w:lang w:val="en-GB"/>
        </w:rPr>
        <w:t>seperti :</w:t>
      </w:r>
      <w:proofErr w:type="gramEnd"/>
      <w:r w:rsidRPr="006149DE">
        <w:rPr>
          <w:rFonts w:ascii="Times New Roman" w:hAnsi="Times New Roman" w:cs="Times New Roman"/>
          <w:sz w:val="24"/>
          <w:szCs w:val="24"/>
          <w:lang w:val="en-GB"/>
        </w:rPr>
        <w:t xml:space="preserve"> target produksi, kelayakan teknologi dan kecocokan ekonomi. Kebutuhan </w:t>
      </w:r>
      <w:proofErr w:type="gramStart"/>
      <w:r w:rsidRPr="006149DE">
        <w:rPr>
          <w:rFonts w:ascii="Times New Roman" w:hAnsi="Times New Roman" w:cs="Times New Roman"/>
          <w:sz w:val="24"/>
          <w:szCs w:val="24"/>
          <w:lang w:val="en-GB"/>
        </w:rPr>
        <w:t>peralatan  utama</w:t>
      </w:r>
      <w:proofErr w:type="gramEnd"/>
      <w:r w:rsidRPr="006149DE">
        <w:rPr>
          <w:rFonts w:ascii="Times New Roman" w:hAnsi="Times New Roman" w:cs="Times New Roman"/>
          <w:sz w:val="24"/>
          <w:szCs w:val="24"/>
          <w:lang w:val="en-GB"/>
        </w:rPr>
        <w:t xml:space="preserve"> dan pendukung terdiri dari perlengkapan reverbratory, mesin dan peralatan lapangan, inventaris, serta kendaran operasional Sedangkan untuk pembelian peralatan utama dan pendukung tersebut hanya dilakukan pada tahun pertama disesuaikan dengan investasinya.</w:t>
      </w:r>
    </w:p>
    <w:p w:rsidR="006149DE" w:rsidRPr="006149DE" w:rsidRDefault="006149DE" w:rsidP="008F2102">
      <w:pPr>
        <w:spacing w:after="0" w:line="240" w:lineRule="auto"/>
        <w:ind w:firstLine="567"/>
        <w:jc w:val="both"/>
        <w:rPr>
          <w:rFonts w:ascii="Times New Roman" w:hAnsi="Times New Roman" w:cs="Times New Roman"/>
          <w:sz w:val="24"/>
          <w:szCs w:val="24"/>
          <w:lang w:val="en-GB"/>
        </w:rPr>
      </w:pPr>
      <w:r w:rsidRPr="006149DE">
        <w:rPr>
          <w:rFonts w:ascii="Times New Roman" w:hAnsi="Times New Roman" w:cs="Times New Roman"/>
          <w:sz w:val="24"/>
          <w:szCs w:val="24"/>
          <w:lang w:val="en-GB"/>
        </w:rPr>
        <w:t xml:space="preserve">Peralatan utama dan pendukung yang telah disesuaikan dengan jumlah kebutuhannya dengan total biaya pembelian </w:t>
      </w:r>
      <w:proofErr w:type="gramStart"/>
      <w:r w:rsidRPr="006149DE">
        <w:rPr>
          <w:rFonts w:ascii="Times New Roman" w:hAnsi="Times New Roman" w:cs="Times New Roman"/>
          <w:sz w:val="24"/>
          <w:szCs w:val="24"/>
          <w:lang w:val="en-GB"/>
        </w:rPr>
        <w:t>peralatan  sebesar</w:t>
      </w:r>
      <w:proofErr w:type="gramEnd"/>
      <w:r w:rsidRPr="006149DE">
        <w:rPr>
          <w:rFonts w:ascii="Times New Roman" w:hAnsi="Times New Roman" w:cs="Times New Roman"/>
          <w:sz w:val="24"/>
          <w:szCs w:val="24"/>
          <w:lang w:val="en-GB"/>
        </w:rPr>
        <w:t xml:space="preserve">  USD 1,970,062.00. Tenaga kerja langsung yang dibutuhkan untuk menjalankan pabrik pengolahan timah lebih kurang berjumlah 105 orang, Waktu kerja kegiatan pengolahan yang direncakan terdiri dari 2 shift dengan waktu kerja 12 jam/shift.</w:t>
      </w:r>
    </w:p>
    <w:p w:rsidR="006149DE" w:rsidRPr="006149DE" w:rsidRDefault="006149DE" w:rsidP="008F2102">
      <w:pPr>
        <w:spacing w:after="0" w:line="240" w:lineRule="auto"/>
        <w:jc w:val="both"/>
        <w:rPr>
          <w:rFonts w:ascii="Times New Roman" w:hAnsi="Times New Roman" w:cs="Times New Roman"/>
          <w:sz w:val="24"/>
          <w:szCs w:val="24"/>
          <w:lang w:val="en-GB"/>
        </w:rPr>
      </w:pPr>
      <w:r w:rsidRPr="006149DE">
        <w:rPr>
          <w:rFonts w:ascii="Times New Roman" w:hAnsi="Times New Roman" w:cs="Times New Roman"/>
          <w:sz w:val="24"/>
          <w:szCs w:val="24"/>
          <w:lang w:val="en-GB"/>
        </w:rPr>
        <w:t xml:space="preserve">Perhitungan investasi meliputi </w:t>
      </w:r>
      <w:proofErr w:type="gramStart"/>
      <w:r w:rsidRPr="006149DE">
        <w:rPr>
          <w:rFonts w:ascii="Times New Roman" w:hAnsi="Times New Roman" w:cs="Times New Roman"/>
          <w:sz w:val="24"/>
          <w:szCs w:val="24"/>
          <w:lang w:val="en-GB"/>
        </w:rPr>
        <w:t>dana</w:t>
      </w:r>
      <w:proofErr w:type="gramEnd"/>
      <w:r w:rsidRPr="006149DE">
        <w:rPr>
          <w:rFonts w:ascii="Times New Roman" w:hAnsi="Times New Roman" w:cs="Times New Roman"/>
          <w:sz w:val="24"/>
          <w:szCs w:val="24"/>
          <w:lang w:val="en-GB"/>
        </w:rPr>
        <w:t xml:space="preserve"> yang dikeluarkan oleh perusahaan sebagai akibat realisasi kegiatan dalam masa pengolahan dan menginvestasikan pada awal kegiatan, yang mencakup biaya – biaya investasi seperti:</w:t>
      </w:r>
    </w:p>
    <w:p w:rsidR="006149DE" w:rsidRPr="006149DE" w:rsidRDefault="006149DE" w:rsidP="008F2102">
      <w:pPr>
        <w:pStyle w:val="ListParagraph"/>
        <w:numPr>
          <w:ilvl w:val="0"/>
          <w:numId w:val="3"/>
        </w:numPr>
        <w:spacing w:after="0" w:line="240" w:lineRule="auto"/>
        <w:ind w:left="567" w:hanging="567"/>
        <w:jc w:val="both"/>
        <w:rPr>
          <w:rFonts w:ascii="Times New Roman" w:hAnsi="Times New Roman" w:cs="Times New Roman"/>
          <w:sz w:val="24"/>
          <w:szCs w:val="24"/>
          <w:lang w:val="en-GB"/>
        </w:rPr>
      </w:pPr>
      <w:r w:rsidRPr="006149DE">
        <w:rPr>
          <w:rFonts w:ascii="Times New Roman" w:hAnsi="Times New Roman" w:cs="Times New Roman"/>
          <w:sz w:val="24"/>
          <w:szCs w:val="24"/>
          <w:lang w:val="en-GB"/>
        </w:rPr>
        <w:t>Biaya Investasi pra operasional dan Engineering, Merupakan biaya investasi tahap awal yang telah dikeluarkan sebelum proyek pengolahan timah dimulai, seperti biaya perizinan, biaya studi kelayakan, biaya amdal, dan biaya – biaya lainnya. Hasil perhitungan biaya – biaya investasi pada tahap pra operasional sebesar USD. 1.181.623 hanya dilakukan pada tahun pertama.</w:t>
      </w:r>
    </w:p>
    <w:p w:rsidR="006149DE" w:rsidRPr="006149DE" w:rsidRDefault="006149DE" w:rsidP="008F2102">
      <w:pPr>
        <w:pStyle w:val="ListParagraph"/>
        <w:numPr>
          <w:ilvl w:val="0"/>
          <w:numId w:val="3"/>
        </w:numPr>
        <w:spacing w:after="0" w:line="240" w:lineRule="auto"/>
        <w:ind w:left="567" w:hanging="567"/>
        <w:jc w:val="both"/>
        <w:rPr>
          <w:rFonts w:ascii="Times New Roman" w:hAnsi="Times New Roman" w:cs="Times New Roman"/>
          <w:sz w:val="24"/>
          <w:szCs w:val="24"/>
          <w:lang w:val="en-GB"/>
        </w:rPr>
      </w:pPr>
      <w:r w:rsidRPr="006149DE">
        <w:rPr>
          <w:rFonts w:ascii="Times New Roman" w:hAnsi="Times New Roman" w:cs="Times New Roman"/>
          <w:sz w:val="24"/>
          <w:szCs w:val="24"/>
          <w:lang w:val="en-GB"/>
        </w:rPr>
        <w:t>Biaya Investasi Tahap Engineering, Biaya investasi tahap ini terkait pada penunjang kegiatan pengolahan, seperti biaya pembelian pondasi, biaya perlengkapan laboratorium, biaya workshop raw material, diesel / generator, dan sebagai nya dengan total investasi pada tahap ini sebesar USD. 2.084.219</w:t>
      </w:r>
    </w:p>
    <w:p w:rsidR="006149DE" w:rsidRPr="006149DE" w:rsidRDefault="006149DE" w:rsidP="008F2102">
      <w:pPr>
        <w:pStyle w:val="ListParagraph"/>
        <w:numPr>
          <w:ilvl w:val="0"/>
          <w:numId w:val="3"/>
        </w:numPr>
        <w:spacing w:after="0" w:line="240" w:lineRule="auto"/>
        <w:ind w:left="567" w:hanging="567"/>
        <w:jc w:val="both"/>
        <w:rPr>
          <w:rFonts w:ascii="Times New Roman" w:hAnsi="Times New Roman" w:cs="Times New Roman"/>
          <w:sz w:val="24"/>
          <w:szCs w:val="24"/>
          <w:lang w:val="en-GB"/>
        </w:rPr>
      </w:pPr>
      <w:r w:rsidRPr="006149DE">
        <w:rPr>
          <w:rFonts w:ascii="Times New Roman" w:hAnsi="Times New Roman" w:cs="Times New Roman"/>
          <w:sz w:val="24"/>
          <w:szCs w:val="24"/>
          <w:lang w:val="en-GB"/>
        </w:rPr>
        <w:t>Biaya lainnya, Pada investasi ini terdiri dari biaya kepemilikan. Operasional, dan upah pekerja dengan total investasi USD. 3.602.736</w:t>
      </w:r>
    </w:p>
    <w:p w:rsidR="006149DE" w:rsidRPr="006149DE" w:rsidRDefault="006149DE" w:rsidP="008F2102">
      <w:pPr>
        <w:tabs>
          <w:tab w:val="left" w:pos="561"/>
        </w:tabs>
        <w:spacing w:after="0" w:line="240" w:lineRule="auto"/>
        <w:jc w:val="both"/>
        <w:rPr>
          <w:rFonts w:ascii="Times New Roman" w:hAnsi="Times New Roman" w:cs="Times New Roman"/>
          <w:sz w:val="24"/>
          <w:szCs w:val="24"/>
        </w:rPr>
      </w:pPr>
      <w:r w:rsidRPr="006149DE">
        <w:rPr>
          <w:rFonts w:ascii="Times New Roman" w:hAnsi="Times New Roman" w:cs="Times New Roman"/>
          <w:sz w:val="24"/>
          <w:szCs w:val="24"/>
          <w:lang w:val="en-GB"/>
        </w:rPr>
        <w:tab/>
      </w:r>
      <w:r w:rsidRPr="006149DE">
        <w:rPr>
          <w:rFonts w:ascii="Times New Roman" w:hAnsi="Times New Roman" w:cs="Times New Roman"/>
          <w:sz w:val="24"/>
          <w:szCs w:val="24"/>
        </w:rPr>
        <w:t xml:space="preserve">Analisis </w:t>
      </w:r>
      <w:r w:rsidRPr="006149DE">
        <w:rPr>
          <w:rFonts w:ascii="Times New Roman" w:hAnsi="Times New Roman" w:cs="Times New Roman"/>
          <w:i/>
          <w:sz w:val="24"/>
          <w:szCs w:val="24"/>
        </w:rPr>
        <w:t xml:space="preserve">Cash Flow </w:t>
      </w:r>
      <w:r w:rsidRPr="006149DE">
        <w:rPr>
          <w:rFonts w:ascii="Times New Roman" w:hAnsi="Times New Roman" w:cs="Times New Roman"/>
          <w:sz w:val="24"/>
          <w:szCs w:val="24"/>
        </w:rPr>
        <w:t xml:space="preserve">memperhitungkan nilai waktu dari uang, maka disebut dengan </w:t>
      </w:r>
      <w:r w:rsidRPr="006149DE">
        <w:rPr>
          <w:rFonts w:ascii="Times New Roman" w:hAnsi="Times New Roman" w:cs="Times New Roman"/>
          <w:i/>
          <w:sz w:val="24"/>
          <w:szCs w:val="24"/>
        </w:rPr>
        <w:t>Discounted Cash Flow</w:t>
      </w:r>
      <w:r w:rsidRPr="006149DE">
        <w:rPr>
          <w:rFonts w:ascii="Times New Roman" w:hAnsi="Times New Roman" w:cs="Times New Roman"/>
          <w:sz w:val="24"/>
          <w:szCs w:val="24"/>
        </w:rPr>
        <w:t xml:space="preserve"> (DCF). </w:t>
      </w:r>
      <w:r w:rsidRPr="006149DE">
        <w:rPr>
          <w:rFonts w:ascii="Times New Roman" w:hAnsi="Times New Roman" w:cs="Times New Roman"/>
          <w:i/>
          <w:sz w:val="24"/>
          <w:szCs w:val="24"/>
        </w:rPr>
        <w:t>Cash Flow</w:t>
      </w:r>
      <w:r w:rsidRPr="006149DE">
        <w:rPr>
          <w:rFonts w:ascii="Times New Roman" w:hAnsi="Times New Roman" w:cs="Times New Roman"/>
          <w:sz w:val="24"/>
          <w:szCs w:val="24"/>
        </w:rPr>
        <w:t xml:space="preserve"> biasanya dihitung dengan basis perhitungan tahun dengan tujuan evaluasi yang ditentukan melalui pengurangan </w:t>
      </w:r>
      <w:r w:rsidRPr="006149DE">
        <w:rPr>
          <w:rFonts w:ascii="Times New Roman" w:hAnsi="Times New Roman" w:cs="Times New Roman"/>
          <w:i/>
          <w:sz w:val="24"/>
          <w:szCs w:val="24"/>
        </w:rPr>
        <w:t>Cash Outlow</w:t>
      </w:r>
      <w:r w:rsidRPr="006149DE">
        <w:rPr>
          <w:rFonts w:ascii="Times New Roman" w:hAnsi="Times New Roman" w:cs="Times New Roman"/>
          <w:sz w:val="24"/>
          <w:szCs w:val="24"/>
        </w:rPr>
        <w:t xml:space="preserve"> dari </w:t>
      </w:r>
      <w:r w:rsidRPr="006149DE">
        <w:rPr>
          <w:rFonts w:ascii="Times New Roman" w:hAnsi="Times New Roman" w:cs="Times New Roman"/>
          <w:i/>
          <w:sz w:val="24"/>
          <w:szCs w:val="24"/>
        </w:rPr>
        <w:t>Cash Inflow</w:t>
      </w:r>
      <w:r w:rsidRPr="006149DE">
        <w:rPr>
          <w:rFonts w:ascii="Times New Roman" w:hAnsi="Times New Roman" w:cs="Times New Roman"/>
          <w:sz w:val="24"/>
          <w:szCs w:val="24"/>
        </w:rPr>
        <w:t xml:space="preserve"> yang dihasilkan dari kegiatan investasi. Analisis investasi dan kelayakan produksi </w:t>
      </w:r>
      <w:proofErr w:type="gramStart"/>
      <w:r w:rsidRPr="006149DE">
        <w:rPr>
          <w:rFonts w:ascii="Times New Roman" w:hAnsi="Times New Roman" w:cs="Times New Roman"/>
          <w:sz w:val="24"/>
          <w:szCs w:val="24"/>
        </w:rPr>
        <w:t>akan</w:t>
      </w:r>
      <w:proofErr w:type="gramEnd"/>
      <w:r w:rsidRPr="006149DE">
        <w:rPr>
          <w:rFonts w:ascii="Times New Roman" w:hAnsi="Times New Roman" w:cs="Times New Roman"/>
          <w:sz w:val="24"/>
          <w:szCs w:val="24"/>
        </w:rPr>
        <w:t xml:space="preserve"> dihitung dengan menggunakan metode </w:t>
      </w:r>
      <w:r w:rsidRPr="006149DE">
        <w:rPr>
          <w:rFonts w:ascii="Times New Roman" w:hAnsi="Times New Roman" w:cs="Times New Roman"/>
          <w:i/>
          <w:sz w:val="24"/>
          <w:szCs w:val="24"/>
        </w:rPr>
        <w:t>Discounted Cash Flow</w:t>
      </w:r>
      <w:r w:rsidRPr="006149DE">
        <w:rPr>
          <w:rFonts w:ascii="Times New Roman" w:hAnsi="Times New Roman" w:cs="Times New Roman"/>
          <w:sz w:val="24"/>
          <w:szCs w:val="24"/>
        </w:rPr>
        <w:t xml:space="preserve"> (DCF). Beberapa asumsi yang digunakan dalam melakukan perhitungan dengan pendekatan tersebut adalah: </w:t>
      </w:r>
    </w:p>
    <w:p w:rsidR="006149DE" w:rsidRPr="006149DE" w:rsidRDefault="006149DE" w:rsidP="008F2102">
      <w:pPr>
        <w:pStyle w:val="ListParagraph"/>
        <w:numPr>
          <w:ilvl w:val="0"/>
          <w:numId w:val="4"/>
        </w:numPr>
        <w:tabs>
          <w:tab w:val="left" w:pos="360"/>
        </w:tabs>
        <w:spacing w:after="0" w:line="240" w:lineRule="auto"/>
        <w:jc w:val="both"/>
        <w:rPr>
          <w:rFonts w:ascii="Times New Roman" w:hAnsi="Times New Roman" w:cs="Times New Roman"/>
          <w:sz w:val="24"/>
          <w:szCs w:val="24"/>
        </w:rPr>
      </w:pPr>
      <w:r w:rsidRPr="006149DE">
        <w:rPr>
          <w:rFonts w:ascii="Times New Roman" w:hAnsi="Times New Roman" w:cs="Times New Roman"/>
          <w:sz w:val="24"/>
          <w:szCs w:val="24"/>
        </w:rPr>
        <w:t xml:space="preserve">Komposisi pinjaman, dimana proyek dibiayai dengan sebagian modal sendiri dan modal pinjaman dengan perbandingan </w:t>
      </w:r>
      <w:r w:rsidRPr="006149DE">
        <w:rPr>
          <w:rFonts w:ascii="Times New Roman" w:hAnsi="Times New Roman" w:cs="Times New Roman"/>
          <w:color w:val="000000"/>
          <w:sz w:val="24"/>
          <w:szCs w:val="24"/>
        </w:rPr>
        <w:t>30% dan 70%.</w:t>
      </w:r>
      <w:r w:rsidRPr="006149DE">
        <w:rPr>
          <w:rFonts w:ascii="Times New Roman" w:hAnsi="Times New Roman" w:cs="Times New Roman"/>
          <w:sz w:val="24"/>
          <w:szCs w:val="24"/>
        </w:rPr>
        <w:t xml:space="preserve"> </w:t>
      </w:r>
    </w:p>
    <w:p w:rsidR="006149DE" w:rsidRPr="006149DE" w:rsidRDefault="006149DE" w:rsidP="008F2102">
      <w:pPr>
        <w:pStyle w:val="ListParagraph"/>
        <w:numPr>
          <w:ilvl w:val="0"/>
          <w:numId w:val="4"/>
        </w:numPr>
        <w:tabs>
          <w:tab w:val="left" w:pos="360"/>
        </w:tabs>
        <w:spacing w:after="0" w:line="240" w:lineRule="auto"/>
        <w:jc w:val="both"/>
        <w:rPr>
          <w:rFonts w:ascii="Times New Roman" w:hAnsi="Times New Roman" w:cs="Times New Roman"/>
          <w:sz w:val="24"/>
          <w:szCs w:val="24"/>
        </w:rPr>
      </w:pPr>
      <w:r w:rsidRPr="006149DE">
        <w:rPr>
          <w:rFonts w:ascii="Times New Roman" w:hAnsi="Times New Roman" w:cs="Times New Roman"/>
          <w:sz w:val="24"/>
          <w:szCs w:val="24"/>
        </w:rPr>
        <w:t xml:space="preserve">Pajak (tax) yang dikenakan besarnya berdasarkan peraturan perpajakan, yaitu pajak badan sebesar 25%. </w:t>
      </w:r>
    </w:p>
    <w:p w:rsidR="006149DE" w:rsidRPr="006149DE" w:rsidRDefault="006149DE" w:rsidP="008F2102">
      <w:pPr>
        <w:pStyle w:val="ListParagraph"/>
        <w:numPr>
          <w:ilvl w:val="0"/>
          <w:numId w:val="4"/>
        </w:numPr>
        <w:tabs>
          <w:tab w:val="left" w:pos="360"/>
        </w:tabs>
        <w:spacing w:after="0" w:line="240" w:lineRule="auto"/>
        <w:jc w:val="both"/>
        <w:rPr>
          <w:rFonts w:ascii="Times New Roman" w:hAnsi="Times New Roman" w:cs="Times New Roman"/>
          <w:sz w:val="24"/>
          <w:szCs w:val="24"/>
        </w:rPr>
      </w:pPr>
      <w:r w:rsidRPr="006149DE">
        <w:rPr>
          <w:rFonts w:ascii="Times New Roman" w:hAnsi="Times New Roman" w:cs="Times New Roman"/>
          <w:i/>
          <w:sz w:val="24"/>
          <w:szCs w:val="24"/>
        </w:rPr>
        <w:t>Internal Rate of Return</w:t>
      </w:r>
      <w:r w:rsidRPr="006149DE">
        <w:rPr>
          <w:rFonts w:ascii="Times New Roman" w:hAnsi="Times New Roman" w:cs="Times New Roman"/>
          <w:sz w:val="24"/>
          <w:szCs w:val="24"/>
        </w:rPr>
        <w:t xml:space="preserve"> (IRR) minimum yang digunakan sebesar 9.79% berdasarkan perhitungan WACC. </w:t>
      </w:r>
    </w:p>
    <w:p w:rsidR="006149DE" w:rsidRPr="006149DE" w:rsidRDefault="006149DE" w:rsidP="008F2102">
      <w:pPr>
        <w:pStyle w:val="ListParagraph"/>
        <w:numPr>
          <w:ilvl w:val="0"/>
          <w:numId w:val="4"/>
        </w:numPr>
        <w:tabs>
          <w:tab w:val="left" w:pos="360"/>
        </w:tabs>
        <w:spacing w:after="0" w:line="240" w:lineRule="auto"/>
        <w:jc w:val="both"/>
        <w:rPr>
          <w:rFonts w:ascii="Times New Roman" w:hAnsi="Times New Roman" w:cs="Times New Roman"/>
          <w:sz w:val="24"/>
          <w:szCs w:val="24"/>
        </w:rPr>
      </w:pPr>
      <w:r w:rsidRPr="006149DE">
        <w:rPr>
          <w:rFonts w:ascii="Times New Roman" w:hAnsi="Times New Roman" w:cs="Times New Roman"/>
          <w:sz w:val="24"/>
          <w:szCs w:val="24"/>
        </w:rPr>
        <w:t xml:space="preserve">Perhitungan discount rate (IRR minimum) dengan WACC </w:t>
      </w:r>
    </w:p>
    <w:p w:rsidR="006149DE" w:rsidRPr="006149DE" w:rsidRDefault="006149DE" w:rsidP="008F2102">
      <w:pPr>
        <w:tabs>
          <w:tab w:val="left" w:pos="567"/>
        </w:tabs>
        <w:spacing w:after="0" w:line="240" w:lineRule="auto"/>
        <w:jc w:val="both"/>
        <w:rPr>
          <w:rFonts w:ascii="Times New Roman" w:hAnsi="Times New Roman" w:cs="Times New Roman"/>
          <w:sz w:val="24"/>
          <w:szCs w:val="24"/>
        </w:rPr>
      </w:pPr>
      <w:r w:rsidRPr="006149DE">
        <w:rPr>
          <w:rFonts w:ascii="Times New Roman" w:hAnsi="Times New Roman" w:cs="Times New Roman"/>
          <w:sz w:val="24"/>
          <w:szCs w:val="24"/>
        </w:rPr>
        <w:tab/>
      </w:r>
      <w:r w:rsidRPr="006149DE">
        <w:rPr>
          <w:rFonts w:ascii="Times New Roman" w:hAnsi="Times New Roman" w:cs="Times New Roman"/>
          <w:sz w:val="24"/>
          <w:szCs w:val="24"/>
        </w:rPr>
        <w:tab/>
      </w:r>
      <w:r w:rsidRPr="006149DE">
        <w:rPr>
          <w:rFonts w:ascii="Times New Roman" w:hAnsi="Times New Roman" w:cs="Times New Roman"/>
          <w:i/>
          <w:iCs/>
          <w:sz w:val="24"/>
          <w:szCs w:val="24"/>
        </w:rPr>
        <w:t>Cost of equity</w:t>
      </w:r>
      <w:r w:rsidRPr="006149DE">
        <w:rPr>
          <w:rFonts w:ascii="Times New Roman" w:hAnsi="Times New Roman" w:cs="Times New Roman"/>
          <w:sz w:val="24"/>
          <w:szCs w:val="24"/>
        </w:rPr>
        <w:t xml:space="preserve"> </w:t>
      </w:r>
      <w:r w:rsidRPr="006149DE">
        <w:rPr>
          <w:rFonts w:ascii="Times New Roman" w:hAnsi="Times New Roman" w:cs="Times New Roman"/>
          <w:sz w:val="24"/>
          <w:szCs w:val="24"/>
        </w:rPr>
        <w:tab/>
      </w:r>
      <w:r w:rsidRPr="006149DE">
        <w:rPr>
          <w:rFonts w:ascii="Times New Roman" w:hAnsi="Times New Roman" w:cs="Times New Roman"/>
          <w:sz w:val="24"/>
          <w:szCs w:val="24"/>
        </w:rPr>
        <w:tab/>
        <w:t xml:space="preserve">  = 11</w:t>
      </w:r>
      <w:proofErr w:type="gramStart"/>
      <w:r w:rsidRPr="006149DE">
        <w:rPr>
          <w:rFonts w:ascii="Times New Roman" w:hAnsi="Times New Roman" w:cs="Times New Roman"/>
          <w:sz w:val="24"/>
          <w:szCs w:val="24"/>
        </w:rPr>
        <w:t>,37</w:t>
      </w:r>
      <w:proofErr w:type="gramEnd"/>
      <w:r w:rsidRPr="006149DE">
        <w:rPr>
          <w:rFonts w:ascii="Times New Roman" w:hAnsi="Times New Roman" w:cs="Times New Roman"/>
          <w:sz w:val="24"/>
          <w:szCs w:val="24"/>
        </w:rPr>
        <w:t>%</w:t>
      </w:r>
    </w:p>
    <w:p w:rsidR="006149DE" w:rsidRPr="006149DE" w:rsidRDefault="006149DE" w:rsidP="008F2102">
      <w:pPr>
        <w:tabs>
          <w:tab w:val="left" w:pos="567"/>
        </w:tabs>
        <w:spacing w:after="0" w:line="240" w:lineRule="auto"/>
        <w:jc w:val="both"/>
        <w:rPr>
          <w:rFonts w:ascii="Times New Roman" w:hAnsi="Times New Roman" w:cs="Times New Roman"/>
          <w:sz w:val="24"/>
          <w:szCs w:val="24"/>
        </w:rPr>
      </w:pPr>
      <w:r w:rsidRPr="006149DE">
        <w:rPr>
          <w:rFonts w:ascii="Times New Roman" w:hAnsi="Times New Roman" w:cs="Times New Roman"/>
          <w:sz w:val="24"/>
          <w:szCs w:val="24"/>
        </w:rPr>
        <w:tab/>
      </w:r>
      <w:r w:rsidRPr="006149DE">
        <w:rPr>
          <w:rFonts w:ascii="Times New Roman" w:hAnsi="Times New Roman" w:cs="Times New Roman"/>
          <w:sz w:val="24"/>
          <w:szCs w:val="24"/>
        </w:rPr>
        <w:tab/>
      </w:r>
      <w:r w:rsidRPr="006149DE">
        <w:rPr>
          <w:rFonts w:ascii="Times New Roman" w:hAnsi="Times New Roman" w:cs="Times New Roman"/>
          <w:i/>
          <w:iCs/>
          <w:sz w:val="24"/>
          <w:szCs w:val="24"/>
        </w:rPr>
        <w:t>Risk free rate</w:t>
      </w:r>
      <w:r w:rsidRPr="006149DE">
        <w:rPr>
          <w:rFonts w:ascii="Times New Roman" w:hAnsi="Times New Roman" w:cs="Times New Roman"/>
          <w:sz w:val="24"/>
          <w:szCs w:val="24"/>
        </w:rPr>
        <w:tab/>
        <w:t xml:space="preserve">  </w:t>
      </w:r>
      <w:r w:rsidRPr="006149DE">
        <w:rPr>
          <w:rFonts w:ascii="Times New Roman" w:hAnsi="Times New Roman" w:cs="Times New Roman"/>
          <w:sz w:val="24"/>
          <w:szCs w:val="24"/>
        </w:rPr>
        <w:tab/>
        <w:t xml:space="preserve">  = 7</w:t>
      </w:r>
      <w:proofErr w:type="gramStart"/>
      <w:r w:rsidRPr="006149DE">
        <w:rPr>
          <w:rFonts w:ascii="Times New Roman" w:hAnsi="Times New Roman" w:cs="Times New Roman"/>
          <w:sz w:val="24"/>
          <w:szCs w:val="24"/>
        </w:rPr>
        <w:t>,89</w:t>
      </w:r>
      <w:proofErr w:type="gramEnd"/>
      <w:r w:rsidRPr="006149DE">
        <w:rPr>
          <w:rFonts w:ascii="Times New Roman" w:hAnsi="Times New Roman" w:cs="Times New Roman"/>
          <w:sz w:val="24"/>
          <w:szCs w:val="24"/>
        </w:rPr>
        <w:t xml:space="preserve">%  </w:t>
      </w:r>
    </w:p>
    <w:p w:rsidR="006149DE" w:rsidRPr="006149DE" w:rsidRDefault="006149DE" w:rsidP="008F2102">
      <w:pPr>
        <w:tabs>
          <w:tab w:val="left" w:pos="567"/>
        </w:tabs>
        <w:spacing w:after="0" w:line="240" w:lineRule="auto"/>
        <w:jc w:val="both"/>
        <w:rPr>
          <w:rFonts w:ascii="Times New Roman" w:hAnsi="Times New Roman" w:cs="Times New Roman"/>
          <w:sz w:val="24"/>
          <w:szCs w:val="24"/>
        </w:rPr>
      </w:pPr>
      <w:r w:rsidRPr="006149DE">
        <w:rPr>
          <w:rFonts w:ascii="Times New Roman" w:hAnsi="Times New Roman" w:cs="Times New Roman"/>
          <w:sz w:val="24"/>
          <w:szCs w:val="24"/>
        </w:rPr>
        <w:lastRenderedPageBreak/>
        <w:tab/>
      </w:r>
      <w:r w:rsidRPr="006149DE">
        <w:rPr>
          <w:rFonts w:ascii="Times New Roman" w:hAnsi="Times New Roman" w:cs="Times New Roman"/>
          <w:sz w:val="24"/>
          <w:szCs w:val="24"/>
        </w:rPr>
        <w:tab/>
        <w:t xml:space="preserve">Equity Beta </w:t>
      </w:r>
      <w:r w:rsidRPr="006149DE">
        <w:rPr>
          <w:rFonts w:ascii="Times New Roman" w:hAnsi="Times New Roman" w:cs="Times New Roman"/>
          <w:sz w:val="24"/>
          <w:szCs w:val="24"/>
        </w:rPr>
        <w:tab/>
      </w:r>
      <w:r w:rsidRPr="006149DE">
        <w:rPr>
          <w:rFonts w:ascii="Times New Roman" w:hAnsi="Times New Roman" w:cs="Times New Roman"/>
          <w:sz w:val="24"/>
          <w:szCs w:val="24"/>
        </w:rPr>
        <w:tab/>
        <w:t xml:space="preserve">  = 100% </w:t>
      </w:r>
    </w:p>
    <w:p w:rsidR="006149DE" w:rsidRPr="006149DE" w:rsidRDefault="006149DE" w:rsidP="008F2102">
      <w:pPr>
        <w:tabs>
          <w:tab w:val="left" w:pos="567"/>
        </w:tabs>
        <w:spacing w:after="0" w:line="240" w:lineRule="auto"/>
        <w:jc w:val="both"/>
        <w:rPr>
          <w:rFonts w:ascii="Times New Roman" w:hAnsi="Times New Roman" w:cs="Times New Roman"/>
          <w:sz w:val="24"/>
          <w:szCs w:val="24"/>
        </w:rPr>
      </w:pPr>
      <w:r w:rsidRPr="006149DE">
        <w:rPr>
          <w:rFonts w:ascii="Times New Roman" w:hAnsi="Times New Roman" w:cs="Times New Roman"/>
          <w:sz w:val="24"/>
          <w:szCs w:val="24"/>
        </w:rPr>
        <w:tab/>
      </w:r>
      <w:r w:rsidRPr="006149DE">
        <w:rPr>
          <w:rFonts w:ascii="Times New Roman" w:hAnsi="Times New Roman" w:cs="Times New Roman"/>
          <w:sz w:val="24"/>
          <w:szCs w:val="24"/>
        </w:rPr>
        <w:tab/>
      </w:r>
      <w:r w:rsidRPr="006149DE">
        <w:rPr>
          <w:rFonts w:ascii="Times New Roman" w:hAnsi="Times New Roman" w:cs="Times New Roman"/>
          <w:i/>
          <w:iCs/>
          <w:sz w:val="24"/>
          <w:szCs w:val="24"/>
        </w:rPr>
        <w:t>Market Return</w:t>
      </w:r>
      <w:r w:rsidRPr="006149DE">
        <w:rPr>
          <w:rFonts w:ascii="Times New Roman" w:hAnsi="Times New Roman" w:cs="Times New Roman"/>
          <w:sz w:val="24"/>
          <w:szCs w:val="24"/>
        </w:rPr>
        <w:t xml:space="preserve"> </w:t>
      </w:r>
      <w:r w:rsidRPr="006149DE">
        <w:rPr>
          <w:rFonts w:ascii="Times New Roman" w:hAnsi="Times New Roman" w:cs="Times New Roman"/>
          <w:sz w:val="24"/>
          <w:szCs w:val="24"/>
        </w:rPr>
        <w:tab/>
        <w:t xml:space="preserve">  = 11</w:t>
      </w:r>
      <w:proofErr w:type="gramStart"/>
      <w:r w:rsidRPr="006149DE">
        <w:rPr>
          <w:rFonts w:ascii="Times New Roman" w:hAnsi="Times New Roman" w:cs="Times New Roman"/>
          <w:sz w:val="24"/>
          <w:szCs w:val="24"/>
        </w:rPr>
        <w:t>,37</w:t>
      </w:r>
      <w:proofErr w:type="gramEnd"/>
      <w:r w:rsidRPr="006149DE">
        <w:rPr>
          <w:rFonts w:ascii="Times New Roman" w:hAnsi="Times New Roman" w:cs="Times New Roman"/>
          <w:sz w:val="24"/>
          <w:szCs w:val="24"/>
        </w:rPr>
        <w:t xml:space="preserve"> % </w:t>
      </w:r>
    </w:p>
    <w:p w:rsidR="006149DE" w:rsidRPr="006149DE" w:rsidRDefault="006149DE" w:rsidP="008F2102">
      <w:pPr>
        <w:tabs>
          <w:tab w:val="left" w:pos="567"/>
        </w:tabs>
        <w:spacing w:after="0" w:line="240" w:lineRule="auto"/>
        <w:jc w:val="both"/>
        <w:rPr>
          <w:rFonts w:ascii="Times New Roman" w:hAnsi="Times New Roman" w:cs="Times New Roman"/>
          <w:sz w:val="24"/>
          <w:szCs w:val="24"/>
        </w:rPr>
      </w:pPr>
      <w:r w:rsidRPr="006149DE">
        <w:rPr>
          <w:rFonts w:ascii="Times New Roman" w:hAnsi="Times New Roman" w:cs="Times New Roman"/>
          <w:sz w:val="24"/>
          <w:szCs w:val="24"/>
        </w:rPr>
        <w:tab/>
      </w:r>
      <w:r w:rsidRPr="006149DE">
        <w:rPr>
          <w:rFonts w:ascii="Times New Roman" w:hAnsi="Times New Roman" w:cs="Times New Roman"/>
          <w:sz w:val="24"/>
          <w:szCs w:val="24"/>
        </w:rPr>
        <w:tab/>
        <w:t xml:space="preserve">IRR minimum </w:t>
      </w:r>
      <w:r>
        <w:rPr>
          <w:rFonts w:ascii="Times New Roman" w:hAnsi="Times New Roman" w:cs="Times New Roman"/>
          <w:sz w:val="24"/>
          <w:szCs w:val="24"/>
        </w:rPr>
        <w:tab/>
        <w:t xml:space="preserve">  </w:t>
      </w:r>
      <w:r w:rsidRPr="006149DE">
        <w:rPr>
          <w:rFonts w:ascii="Times New Roman" w:hAnsi="Times New Roman" w:cs="Times New Roman"/>
          <w:sz w:val="24"/>
          <w:szCs w:val="24"/>
        </w:rPr>
        <w:t xml:space="preserve">= (Debt x suku bunga bank) + (equity x cost of equity) </w:t>
      </w:r>
    </w:p>
    <w:p w:rsidR="006149DE" w:rsidRPr="006149DE" w:rsidRDefault="006149DE" w:rsidP="008F2102">
      <w:pPr>
        <w:tabs>
          <w:tab w:val="left" w:pos="567"/>
        </w:tabs>
        <w:spacing w:after="0" w:line="240" w:lineRule="auto"/>
        <w:jc w:val="both"/>
        <w:rPr>
          <w:rFonts w:ascii="Times New Roman" w:hAnsi="Times New Roman" w:cs="Times New Roman"/>
          <w:sz w:val="24"/>
          <w:szCs w:val="24"/>
        </w:rPr>
      </w:pPr>
      <w:r w:rsidRPr="006149DE">
        <w:rPr>
          <w:rFonts w:ascii="Times New Roman" w:hAnsi="Times New Roman" w:cs="Times New Roman"/>
          <w:sz w:val="24"/>
          <w:szCs w:val="24"/>
        </w:rPr>
        <w:tab/>
      </w:r>
      <w:r w:rsidRPr="006149DE">
        <w:rPr>
          <w:rFonts w:ascii="Times New Roman" w:hAnsi="Times New Roman" w:cs="Times New Roman"/>
          <w:sz w:val="24"/>
          <w:szCs w:val="24"/>
        </w:rPr>
        <w:tab/>
      </w:r>
      <w:r w:rsidRPr="006149DE">
        <w:rPr>
          <w:rFonts w:ascii="Times New Roman" w:hAnsi="Times New Roman" w:cs="Times New Roman"/>
          <w:sz w:val="24"/>
          <w:szCs w:val="24"/>
        </w:rPr>
        <w:tab/>
        <w:t xml:space="preserve">         </w:t>
      </w:r>
      <w:r w:rsidRPr="006149DE">
        <w:rPr>
          <w:rFonts w:ascii="Times New Roman" w:hAnsi="Times New Roman" w:cs="Times New Roman"/>
          <w:sz w:val="24"/>
          <w:szCs w:val="24"/>
        </w:rPr>
        <w:tab/>
      </w:r>
      <w:r w:rsidRPr="006149DE">
        <w:rPr>
          <w:rFonts w:ascii="Times New Roman" w:hAnsi="Times New Roman" w:cs="Times New Roman"/>
          <w:sz w:val="24"/>
          <w:szCs w:val="24"/>
        </w:rPr>
        <w:tab/>
        <w:t xml:space="preserve">  = (70% x 9</w:t>
      </w:r>
      <w:proofErr w:type="gramStart"/>
      <w:r w:rsidRPr="006149DE">
        <w:rPr>
          <w:rFonts w:ascii="Times New Roman" w:hAnsi="Times New Roman" w:cs="Times New Roman"/>
          <w:sz w:val="24"/>
          <w:szCs w:val="24"/>
        </w:rPr>
        <w:t>,95</w:t>
      </w:r>
      <w:proofErr w:type="gramEnd"/>
      <w:r w:rsidRPr="006149DE">
        <w:rPr>
          <w:rFonts w:ascii="Times New Roman" w:hAnsi="Times New Roman" w:cs="Times New Roman"/>
          <w:sz w:val="24"/>
          <w:szCs w:val="24"/>
        </w:rPr>
        <w:t xml:space="preserve">%) + (30% x 11,37%) </w:t>
      </w:r>
    </w:p>
    <w:p w:rsidR="006149DE" w:rsidRDefault="006149DE" w:rsidP="008F2102">
      <w:pPr>
        <w:tabs>
          <w:tab w:val="left" w:pos="567"/>
        </w:tabs>
        <w:spacing w:after="0" w:line="240" w:lineRule="auto"/>
        <w:jc w:val="both"/>
        <w:rPr>
          <w:rFonts w:ascii="Times New Roman" w:hAnsi="Times New Roman" w:cs="Times New Roman"/>
          <w:sz w:val="24"/>
          <w:szCs w:val="24"/>
        </w:rPr>
      </w:pPr>
      <w:r w:rsidRPr="006149DE">
        <w:rPr>
          <w:rFonts w:ascii="Times New Roman" w:hAnsi="Times New Roman" w:cs="Times New Roman"/>
          <w:sz w:val="24"/>
          <w:szCs w:val="24"/>
        </w:rPr>
        <w:t xml:space="preserve">                                 </w:t>
      </w:r>
      <w:r w:rsidRPr="006149DE">
        <w:rPr>
          <w:rFonts w:ascii="Times New Roman" w:hAnsi="Times New Roman" w:cs="Times New Roman"/>
          <w:sz w:val="24"/>
          <w:szCs w:val="24"/>
        </w:rPr>
        <w:tab/>
      </w:r>
      <w:r w:rsidRPr="006149DE">
        <w:rPr>
          <w:rFonts w:ascii="Times New Roman" w:hAnsi="Times New Roman" w:cs="Times New Roman"/>
          <w:sz w:val="24"/>
          <w:szCs w:val="24"/>
        </w:rPr>
        <w:tab/>
        <w:t xml:space="preserve">  = 10</w:t>
      </w:r>
      <w:proofErr w:type="gramStart"/>
      <w:r w:rsidRPr="006149DE">
        <w:rPr>
          <w:rFonts w:ascii="Times New Roman" w:hAnsi="Times New Roman" w:cs="Times New Roman"/>
          <w:sz w:val="24"/>
          <w:szCs w:val="24"/>
        </w:rPr>
        <w:t>,37</w:t>
      </w:r>
      <w:proofErr w:type="gramEnd"/>
      <w:r w:rsidRPr="006149DE">
        <w:rPr>
          <w:rFonts w:ascii="Times New Roman" w:hAnsi="Times New Roman" w:cs="Times New Roman"/>
          <w:sz w:val="24"/>
          <w:szCs w:val="24"/>
        </w:rPr>
        <w:t xml:space="preserve"> %  </w:t>
      </w:r>
    </w:p>
    <w:p w:rsidR="006149DE" w:rsidRDefault="006149DE" w:rsidP="008F2102">
      <w:pPr>
        <w:spacing w:after="0" w:line="240" w:lineRule="auto"/>
        <w:ind w:firstLine="567"/>
        <w:jc w:val="both"/>
        <w:rPr>
          <w:rFonts w:ascii="Times New Roman" w:hAnsi="Times New Roman" w:cs="Times New Roman"/>
          <w:sz w:val="24"/>
          <w:szCs w:val="24"/>
          <w:lang w:val="en-GB"/>
        </w:rPr>
      </w:pPr>
      <w:r w:rsidRPr="006149DE">
        <w:rPr>
          <w:rFonts w:ascii="Times New Roman" w:hAnsi="Times New Roman" w:cs="Times New Roman"/>
          <w:sz w:val="24"/>
          <w:szCs w:val="24"/>
          <w:lang w:val="en-GB"/>
        </w:rPr>
        <w:t>Perhitungan aliran kas terdiri dari pemasukan (Cash Inflow) memasukkan faktor modal sendiri dan modal pinjaman, pengeluaran (Cash outflow) memasukkan faktor biaya produksi, investasi, pembelian peralatan, royalti, cicilan bunga pokok pada bank, serta depresiasi dan amortisasi, pendapatan sebelum Earning and Tax Ebit (EBT) dengan equity 30% dan sebelum pajak (pajak penghasilan perusahaan 25%) untuk menghasilkan pendapatan bersih sehingga diperoleh Net Cash Flow.</w:t>
      </w:r>
    </w:p>
    <w:p w:rsidR="006149DE" w:rsidRDefault="006149DE" w:rsidP="008F2102">
      <w:pPr>
        <w:spacing w:after="0" w:line="240" w:lineRule="auto"/>
        <w:ind w:firstLine="567"/>
        <w:jc w:val="both"/>
        <w:rPr>
          <w:rFonts w:ascii="Times New Roman" w:hAnsi="Times New Roman" w:cs="Times New Roman"/>
          <w:sz w:val="24"/>
          <w:szCs w:val="24"/>
          <w:lang w:val="en-GB"/>
        </w:rPr>
      </w:pPr>
      <w:r w:rsidRPr="006149DE">
        <w:rPr>
          <w:rFonts w:ascii="Times New Roman" w:hAnsi="Times New Roman" w:cs="Times New Roman"/>
          <w:sz w:val="24"/>
          <w:szCs w:val="24"/>
          <w:lang w:val="en-GB"/>
        </w:rPr>
        <w:t>Dana yang diinvestasikan dalam proyek pengolahan bijih timah primer ini sebesar USD. 6.868.578 Dana ini diinvestasikan dalam jangka waktu selama umur proyek berlangsung, yakni 15 tahun. Hasil Net Present Value (NPV) sebesar USD. -18.943.455</w:t>
      </w:r>
      <w:r w:rsidR="008F2102">
        <w:rPr>
          <w:rFonts w:ascii="Times New Roman" w:hAnsi="Times New Roman" w:cs="Times New Roman"/>
          <w:sz w:val="24"/>
          <w:szCs w:val="24"/>
          <w:lang w:val="en-GB"/>
        </w:rPr>
        <w:t>.</w:t>
      </w:r>
    </w:p>
    <w:p w:rsidR="008F2102" w:rsidRDefault="008F2102" w:rsidP="008F2102">
      <w:pPr>
        <w:spacing w:after="0" w:line="240" w:lineRule="auto"/>
        <w:ind w:firstLine="567"/>
        <w:jc w:val="both"/>
        <w:rPr>
          <w:rFonts w:ascii="Times New Roman" w:hAnsi="Times New Roman" w:cs="Times New Roman"/>
          <w:sz w:val="24"/>
          <w:szCs w:val="24"/>
          <w:lang w:val="en-GB"/>
        </w:rPr>
      </w:pPr>
      <w:r w:rsidRPr="008F2102">
        <w:rPr>
          <w:rFonts w:ascii="Times New Roman" w:hAnsi="Times New Roman" w:cs="Times New Roman"/>
          <w:sz w:val="24"/>
          <w:szCs w:val="24"/>
          <w:lang w:val="en-GB"/>
        </w:rPr>
        <w:t xml:space="preserve">Internal Rate Return (IRR) mencari tingkat diskonto (interest) yang dapat menghasilkan net present value (NPV) </w:t>
      </w:r>
      <w:proofErr w:type="gramStart"/>
      <w:r w:rsidRPr="008F2102">
        <w:rPr>
          <w:rFonts w:ascii="Times New Roman" w:hAnsi="Times New Roman" w:cs="Times New Roman"/>
          <w:sz w:val="24"/>
          <w:szCs w:val="24"/>
          <w:lang w:val="en-GB"/>
        </w:rPr>
        <w:t>sama</w:t>
      </w:r>
      <w:proofErr w:type="gramEnd"/>
      <w:r w:rsidRPr="008F2102">
        <w:rPr>
          <w:rFonts w:ascii="Times New Roman" w:hAnsi="Times New Roman" w:cs="Times New Roman"/>
          <w:sz w:val="24"/>
          <w:szCs w:val="24"/>
          <w:lang w:val="en-GB"/>
        </w:rPr>
        <w:t xml:space="preserve"> dengan nol. IRR digunakan dalam menentukan apakah investasi dilaksanakan atau tidak.</w:t>
      </w:r>
    </w:p>
    <w:p w:rsidR="008F2102" w:rsidRDefault="008F2102" w:rsidP="008F2102">
      <w:pPr>
        <w:spacing w:after="0" w:line="240" w:lineRule="auto"/>
        <w:jc w:val="center"/>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14:anchorId="2285E5E9">
            <wp:extent cx="4657090" cy="3371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090" cy="3371215"/>
                    </a:xfrm>
                    <a:prstGeom prst="rect">
                      <a:avLst/>
                    </a:prstGeom>
                    <a:noFill/>
                  </pic:spPr>
                </pic:pic>
              </a:graphicData>
            </a:graphic>
          </wp:inline>
        </w:drawing>
      </w:r>
    </w:p>
    <w:p w:rsidR="008F2102" w:rsidRDefault="008F2102" w:rsidP="008F2102">
      <w:pPr>
        <w:spacing w:after="0" w:line="240" w:lineRule="auto"/>
        <w:jc w:val="both"/>
        <w:rPr>
          <w:rFonts w:ascii="Times New Roman" w:hAnsi="Times New Roman" w:cs="Times New Roman"/>
          <w:sz w:val="24"/>
          <w:szCs w:val="24"/>
          <w:lang w:val="en-GB"/>
        </w:rPr>
      </w:pPr>
    </w:p>
    <w:p w:rsidR="008F2102" w:rsidRPr="006149DE" w:rsidRDefault="008F2102" w:rsidP="008F2102">
      <w:pPr>
        <w:spacing w:after="0" w:line="240" w:lineRule="auto"/>
        <w:jc w:val="center"/>
        <w:rPr>
          <w:rFonts w:ascii="Times New Roman" w:hAnsi="Times New Roman" w:cs="Times New Roman"/>
          <w:sz w:val="24"/>
          <w:szCs w:val="24"/>
          <w:lang w:val="en-GB"/>
        </w:rPr>
      </w:pPr>
      <w:r w:rsidRPr="008F2102">
        <w:rPr>
          <w:rFonts w:ascii="Times New Roman" w:hAnsi="Times New Roman" w:cs="Times New Roman"/>
          <w:b/>
          <w:sz w:val="24"/>
          <w:szCs w:val="24"/>
          <w:lang w:val="en-GB"/>
        </w:rPr>
        <w:t>Tabel 1</w:t>
      </w:r>
      <w:r>
        <w:rPr>
          <w:rFonts w:ascii="Times New Roman" w:hAnsi="Times New Roman" w:cs="Times New Roman"/>
          <w:sz w:val="24"/>
          <w:szCs w:val="24"/>
          <w:lang w:val="en-GB"/>
        </w:rPr>
        <w:t>. Intern Rate of Return di ekstraksi Timah</w:t>
      </w:r>
    </w:p>
    <w:p w:rsidR="006149DE" w:rsidRDefault="006149DE" w:rsidP="008F2102">
      <w:pPr>
        <w:spacing w:after="0" w:line="240" w:lineRule="auto"/>
        <w:jc w:val="both"/>
        <w:rPr>
          <w:rFonts w:ascii="Times New Roman" w:hAnsi="Times New Roman" w:cs="Times New Roman"/>
          <w:sz w:val="24"/>
          <w:szCs w:val="24"/>
          <w:lang w:val="en-GB"/>
        </w:rPr>
      </w:pPr>
    </w:p>
    <w:p w:rsidR="008F2102" w:rsidRDefault="008F2102" w:rsidP="008F2102">
      <w:pPr>
        <w:spacing w:after="0" w:line="240" w:lineRule="auto"/>
        <w:ind w:firstLine="567"/>
        <w:jc w:val="both"/>
        <w:rPr>
          <w:rFonts w:ascii="Times New Roman" w:hAnsi="Times New Roman" w:cs="Times New Roman"/>
          <w:sz w:val="24"/>
          <w:szCs w:val="24"/>
          <w:lang w:val="en-GB"/>
        </w:rPr>
      </w:pPr>
      <w:r w:rsidRPr="008F2102">
        <w:rPr>
          <w:rFonts w:ascii="Times New Roman" w:hAnsi="Times New Roman" w:cs="Times New Roman"/>
          <w:sz w:val="24"/>
          <w:szCs w:val="24"/>
          <w:lang w:val="en-GB"/>
        </w:rPr>
        <w:t xml:space="preserve">Dengan bantuan tabel suku bunga </w:t>
      </w:r>
      <w:proofErr w:type="gramStart"/>
      <w:r w:rsidRPr="008F2102">
        <w:rPr>
          <w:rFonts w:ascii="Times New Roman" w:hAnsi="Times New Roman" w:cs="Times New Roman"/>
          <w:sz w:val="24"/>
          <w:szCs w:val="24"/>
          <w:lang w:val="en-GB"/>
        </w:rPr>
        <w:t>akan</w:t>
      </w:r>
      <w:proofErr w:type="gramEnd"/>
      <w:r w:rsidRPr="008F2102">
        <w:rPr>
          <w:rFonts w:ascii="Times New Roman" w:hAnsi="Times New Roman" w:cs="Times New Roman"/>
          <w:sz w:val="24"/>
          <w:szCs w:val="24"/>
          <w:lang w:val="en-GB"/>
        </w:rPr>
        <w:t xml:space="preserve"> diketahui besarnya IRR. Dalam kajian kelayakan ini, IRR dihitung denga menggunakan persamaan yang tersedia dalam program komputer terapan excel. Hasil perhitungan yang didapat dari Internal Rate Return (IRR) sebesar 0.029% dengan IRR minimum sebesar 9.79%.</w:t>
      </w:r>
      <w:r>
        <w:rPr>
          <w:rFonts w:ascii="Times New Roman" w:hAnsi="Times New Roman" w:cs="Times New Roman"/>
          <w:sz w:val="24"/>
          <w:szCs w:val="24"/>
          <w:lang w:val="en-GB"/>
        </w:rPr>
        <w:t xml:space="preserve"> </w:t>
      </w:r>
      <w:r w:rsidRPr="008F2102">
        <w:rPr>
          <w:rFonts w:ascii="Times New Roman" w:hAnsi="Times New Roman" w:cs="Times New Roman"/>
          <w:sz w:val="24"/>
          <w:szCs w:val="24"/>
          <w:lang w:val="en-GB"/>
        </w:rPr>
        <w:t xml:space="preserve">Metode Payback Period (PP) merupakan suatu periode yang diperlukan untuk menutup kembali pengeluaran suatu investasi dengan menggunakan aliran kas masuk (cash flow) atau waktu yang diperlukan agar jumlah penerimaan </w:t>
      </w:r>
      <w:proofErr w:type="gramStart"/>
      <w:r w:rsidRPr="008F2102">
        <w:rPr>
          <w:rFonts w:ascii="Times New Roman" w:hAnsi="Times New Roman" w:cs="Times New Roman"/>
          <w:sz w:val="24"/>
          <w:szCs w:val="24"/>
          <w:lang w:val="en-GB"/>
        </w:rPr>
        <w:t>sama</w:t>
      </w:r>
      <w:proofErr w:type="gramEnd"/>
      <w:r w:rsidRPr="008F2102">
        <w:rPr>
          <w:rFonts w:ascii="Times New Roman" w:hAnsi="Times New Roman" w:cs="Times New Roman"/>
          <w:sz w:val="24"/>
          <w:szCs w:val="24"/>
          <w:lang w:val="en-GB"/>
        </w:rPr>
        <w:t xml:space="preserve"> dengan jumlah investasi/biaya.</w:t>
      </w:r>
    </w:p>
    <w:p w:rsidR="008F2102" w:rsidRDefault="008F2102" w:rsidP="008F2102">
      <w:pPr>
        <w:spacing w:after="0" w:line="240" w:lineRule="auto"/>
        <w:jc w:val="both"/>
        <w:rPr>
          <w:rFonts w:ascii="Times New Roman" w:hAnsi="Times New Roman" w:cs="Times New Roman"/>
          <w:sz w:val="24"/>
          <w:szCs w:val="24"/>
          <w:lang w:val="en-GB"/>
        </w:rPr>
      </w:pPr>
    </w:p>
    <w:p w:rsidR="008F2102" w:rsidRPr="006149DE" w:rsidRDefault="008F2102" w:rsidP="008F2102">
      <w:pPr>
        <w:spacing w:after="0" w:line="240" w:lineRule="auto"/>
        <w:jc w:val="both"/>
        <w:rPr>
          <w:rFonts w:ascii="Times New Roman" w:hAnsi="Times New Roman" w:cs="Times New Roman"/>
          <w:sz w:val="24"/>
          <w:szCs w:val="24"/>
          <w:lang w:val="en-GB"/>
        </w:rPr>
      </w:pPr>
    </w:p>
    <w:p w:rsidR="00724231" w:rsidRDefault="00724231" w:rsidP="008F2102">
      <w:pPr>
        <w:pStyle w:val="ListParagraph"/>
        <w:numPr>
          <w:ilvl w:val="0"/>
          <w:numId w:val="2"/>
        </w:numPr>
        <w:spacing w:after="0" w:line="240" w:lineRule="auto"/>
        <w:ind w:left="567" w:hanging="567"/>
        <w:jc w:val="both"/>
        <w:rPr>
          <w:rFonts w:ascii="Times New Roman" w:hAnsi="Times New Roman" w:cs="Times New Roman"/>
          <w:b/>
          <w:sz w:val="24"/>
          <w:szCs w:val="24"/>
          <w:lang w:val="en-GB"/>
        </w:rPr>
      </w:pPr>
      <w:r w:rsidRPr="006149DE">
        <w:rPr>
          <w:rFonts w:ascii="Times New Roman" w:hAnsi="Times New Roman" w:cs="Times New Roman"/>
          <w:b/>
          <w:sz w:val="24"/>
          <w:szCs w:val="24"/>
          <w:lang w:val="en-GB"/>
        </w:rPr>
        <w:t>KESIMPULAN DAN SARAN</w:t>
      </w:r>
    </w:p>
    <w:p w:rsidR="00B761A6" w:rsidRDefault="00B761A6" w:rsidP="00B761A6">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Kesimpulan</w:t>
      </w:r>
    </w:p>
    <w:p w:rsidR="00B761A6" w:rsidRPr="00B761A6" w:rsidRDefault="00B761A6" w:rsidP="00B761A6">
      <w:pPr>
        <w:spacing w:after="0" w:line="240" w:lineRule="auto"/>
        <w:jc w:val="both"/>
        <w:rPr>
          <w:rFonts w:ascii="Times New Roman" w:hAnsi="Times New Roman" w:cs="Times New Roman"/>
          <w:sz w:val="24"/>
          <w:szCs w:val="24"/>
          <w:lang w:val="en-GB"/>
        </w:rPr>
      </w:pPr>
      <w:r w:rsidRPr="00B761A6">
        <w:rPr>
          <w:rFonts w:ascii="Times New Roman" w:hAnsi="Times New Roman" w:cs="Times New Roman"/>
          <w:sz w:val="24"/>
          <w:szCs w:val="24"/>
          <w:lang w:val="en-GB"/>
        </w:rPr>
        <w:t>Biaya investasi ektraksi timah menggunakan metode klorinasi basah adalah USD. 1.181.623 untuk tahap pra operasional, USD. 2.084.219 untuk tahap engineering dan USD. 3.602.736 untuk investasi kepemilikan operasional dan upah pekerja. Analisis investasi dengan menggunakan metode Discounted Cash Flow (DCF) dengan asumsi cost of equity sebesar 11,37%, risk free rate sebesar 7,89%, Equity Beta sebesar 100%, Market return sebesar 11,37% dan IRR minimum sebesar 10,37%. Dana yang diinvestasikan dalam ektraksi timah ini adalah USD. 6.868.578 dalam 15 tahun, dengan hasil NPV sebesar USD. -18.943.455, sehingga Internal Rate Return (IRR) sebesar 0,029% dengan IRR minimum sebesar 9,97%.</w:t>
      </w:r>
    </w:p>
    <w:p w:rsidR="00B761A6" w:rsidRDefault="00B761A6" w:rsidP="00B761A6">
      <w:pPr>
        <w:spacing w:after="0" w:line="240" w:lineRule="auto"/>
        <w:jc w:val="both"/>
        <w:rPr>
          <w:rFonts w:ascii="Times New Roman" w:hAnsi="Times New Roman" w:cs="Times New Roman"/>
          <w:b/>
          <w:sz w:val="24"/>
          <w:szCs w:val="24"/>
          <w:lang w:val="en-GB"/>
        </w:rPr>
      </w:pPr>
    </w:p>
    <w:p w:rsidR="00B761A6" w:rsidRPr="00B761A6" w:rsidRDefault="00B761A6" w:rsidP="00B761A6">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Saran</w:t>
      </w:r>
    </w:p>
    <w:p w:rsidR="00724231" w:rsidRDefault="00B761A6" w:rsidP="008F210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Berdasarkan hasil penelitian ini, maka perlu dilaku</w:t>
      </w:r>
      <w:r w:rsidR="00047572">
        <w:rPr>
          <w:rFonts w:ascii="Times New Roman" w:hAnsi="Times New Roman" w:cs="Times New Roman"/>
          <w:sz w:val="24"/>
          <w:szCs w:val="24"/>
          <w:lang w:val="en-GB"/>
        </w:rPr>
        <w:t>kan kajian lebih terperinci dalam perhitungan untuk biaya diperlukan dan juga perlu dilakukan perhitungan dengan teknologi lainnya serta meningkatkan produksinya.</w:t>
      </w:r>
    </w:p>
    <w:p w:rsidR="00047572" w:rsidRPr="00B761A6" w:rsidRDefault="00047572" w:rsidP="008F2102">
      <w:pPr>
        <w:spacing w:after="0" w:line="240" w:lineRule="auto"/>
        <w:jc w:val="both"/>
        <w:rPr>
          <w:rFonts w:ascii="Times New Roman" w:hAnsi="Times New Roman" w:cs="Times New Roman"/>
          <w:sz w:val="24"/>
          <w:szCs w:val="24"/>
          <w:lang w:val="en-GB"/>
        </w:rPr>
      </w:pPr>
    </w:p>
    <w:p w:rsidR="00C847E5" w:rsidRDefault="00724231" w:rsidP="003E7362">
      <w:pPr>
        <w:pStyle w:val="ListParagraph"/>
        <w:numPr>
          <w:ilvl w:val="0"/>
          <w:numId w:val="2"/>
        </w:numPr>
        <w:spacing w:after="0" w:line="240" w:lineRule="auto"/>
        <w:ind w:left="567" w:hanging="567"/>
        <w:jc w:val="both"/>
        <w:rPr>
          <w:rFonts w:ascii="Times New Roman" w:hAnsi="Times New Roman" w:cs="Times New Roman"/>
          <w:b/>
          <w:sz w:val="24"/>
          <w:szCs w:val="24"/>
          <w:lang w:val="en-GB"/>
        </w:rPr>
      </w:pPr>
      <w:r w:rsidRPr="006149DE">
        <w:rPr>
          <w:rFonts w:ascii="Times New Roman" w:hAnsi="Times New Roman" w:cs="Times New Roman"/>
          <w:b/>
          <w:sz w:val="24"/>
          <w:szCs w:val="24"/>
          <w:lang w:val="en-GB"/>
        </w:rPr>
        <w:t>DAFTAR PUSTAKA</w:t>
      </w:r>
    </w:p>
    <w:p w:rsidR="003E7362" w:rsidRDefault="003E7362" w:rsidP="003E7362">
      <w:pPr>
        <w:spacing w:after="0" w:line="240" w:lineRule="auto"/>
        <w:jc w:val="both"/>
        <w:rPr>
          <w:rFonts w:ascii="Times New Roman" w:hAnsi="Times New Roman" w:cs="Times New Roman"/>
          <w:b/>
          <w:sz w:val="24"/>
          <w:szCs w:val="24"/>
          <w:lang w:val="en-GB"/>
        </w:rPr>
      </w:pPr>
    </w:p>
    <w:p w:rsidR="003E7362" w:rsidRDefault="003E7362" w:rsidP="003E7362">
      <w:pPr>
        <w:spacing w:after="0" w:line="240" w:lineRule="auto"/>
        <w:ind w:left="567" w:hanging="567"/>
        <w:jc w:val="both"/>
        <w:rPr>
          <w:rFonts w:ascii="Times New Roman" w:hAnsi="Times New Roman" w:cs="Times New Roman"/>
          <w:sz w:val="24"/>
          <w:szCs w:val="24"/>
          <w:lang w:val="en-GB"/>
        </w:rPr>
      </w:pPr>
      <w:r w:rsidRPr="003E7362">
        <w:rPr>
          <w:rFonts w:ascii="Times New Roman" w:hAnsi="Times New Roman" w:cs="Times New Roman"/>
          <w:sz w:val="24"/>
          <w:szCs w:val="24"/>
          <w:lang w:val="en-GB"/>
        </w:rPr>
        <w:t xml:space="preserve">Gretel Bernal, José Francisco Martínez-Trinidad, etc. 2020. </w:t>
      </w:r>
      <w:r w:rsidRPr="003E7362">
        <w:rPr>
          <w:rFonts w:ascii="Times New Roman" w:hAnsi="Times New Roman" w:cs="Times New Roman"/>
          <w:i/>
          <w:sz w:val="24"/>
          <w:szCs w:val="24"/>
          <w:lang w:val="en-GB"/>
        </w:rPr>
        <w:t>A PSO-based algorithm for mining association rules using a guided exploration strategy</w:t>
      </w:r>
      <w:r w:rsidRPr="003E7362">
        <w:rPr>
          <w:rFonts w:ascii="Times New Roman" w:hAnsi="Times New Roman" w:cs="Times New Roman"/>
          <w:sz w:val="24"/>
          <w:szCs w:val="24"/>
          <w:lang w:val="en-GB"/>
        </w:rPr>
        <w:t xml:space="preserve">. Pattern Recognition Letters, </w:t>
      </w:r>
      <w:r w:rsidRPr="003E7362">
        <w:rPr>
          <w:rFonts w:ascii="Times New Roman" w:hAnsi="Times New Roman" w:cs="Times New Roman"/>
          <w:sz w:val="24"/>
          <w:szCs w:val="24"/>
          <w:lang w:val="en-GB"/>
        </w:rPr>
        <w:t>Volume 138, October 2020, Pages 8-15</w:t>
      </w:r>
      <w:r w:rsidRPr="003E7362">
        <w:rPr>
          <w:rFonts w:ascii="Times New Roman" w:hAnsi="Times New Roman" w:cs="Times New Roman"/>
          <w:sz w:val="24"/>
          <w:szCs w:val="24"/>
          <w:lang w:val="en-GB"/>
        </w:rPr>
        <w:t xml:space="preserve">. </w:t>
      </w:r>
      <w:hyperlink r:id="rId10" w:history="1">
        <w:r w:rsidRPr="003E7362">
          <w:rPr>
            <w:rStyle w:val="Hyperlink"/>
            <w:rFonts w:ascii="Times New Roman" w:hAnsi="Times New Roman" w:cs="Times New Roman"/>
            <w:sz w:val="24"/>
            <w:szCs w:val="24"/>
            <w:lang w:val="en-GB"/>
          </w:rPr>
          <w:t>https://doi.org/10.1016/j.patrec.2020.05.006</w:t>
        </w:r>
      </w:hyperlink>
      <w:r w:rsidRPr="003E7362">
        <w:rPr>
          <w:rFonts w:ascii="Times New Roman" w:hAnsi="Times New Roman" w:cs="Times New Roman"/>
          <w:sz w:val="24"/>
          <w:szCs w:val="24"/>
          <w:lang w:val="en-GB"/>
        </w:rPr>
        <w:t>.</w:t>
      </w:r>
    </w:p>
    <w:p w:rsidR="003E7362" w:rsidRDefault="003E7362" w:rsidP="003E7362">
      <w:pPr>
        <w:spacing w:after="0" w:line="240" w:lineRule="auto"/>
        <w:ind w:left="567" w:hanging="567"/>
        <w:jc w:val="both"/>
        <w:rPr>
          <w:rFonts w:ascii="Times New Roman" w:hAnsi="Times New Roman" w:cs="Times New Roman"/>
          <w:sz w:val="24"/>
          <w:szCs w:val="24"/>
          <w:lang w:val="en-GB"/>
        </w:rPr>
      </w:pPr>
      <w:r w:rsidRPr="003E7362">
        <w:rPr>
          <w:rFonts w:ascii="Times New Roman" w:hAnsi="Times New Roman" w:cs="Times New Roman"/>
          <w:sz w:val="24"/>
          <w:szCs w:val="24"/>
          <w:lang w:val="en-GB"/>
        </w:rPr>
        <w:t>Bernd</w:t>
      </w:r>
      <w:r>
        <w:rPr>
          <w:rFonts w:ascii="Times New Roman" w:hAnsi="Times New Roman" w:cs="Times New Roman"/>
          <w:sz w:val="24"/>
          <w:szCs w:val="24"/>
          <w:lang w:val="en-GB"/>
        </w:rPr>
        <w:t xml:space="preserve"> </w:t>
      </w:r>
      <w:r w:rsidRPr="003E7362">
        <w:rPr>
          <w:rFonts w:ascii="Times New Roman" w:hAnsi="Times New Roman" w:cs="Times New Roman"/>
          <w:sz w:val="24"/>
          <w:szCs w:val="24"/>
          <w:lang w:val="en-GB"/>
        </w:rPr>
        <w:t>Lehmann</w:t>
      </w:r>
      <w:r>
        <w:rPr>
          <w:rFonts w:ascii="Times New Roman" w:hAnsi="Times New Roman" w:cs="Times New Roman"/>
          <w:sz w:val="24"/>
          <w:szCs w:val="24"/>
          <w:lang w:val="en-GB"/>
        </w:rPr>
        <w:t xml:space="preserve">, 2020. </w:t>
      </w:r>
      <w:r w:rsidRPr="003E7362">
        <w:rPr>
          <w:rFonts w:ascii="Times New Roman" w:hAnsi="Times New Roman" w:cs="Times New Roman"/>
          <w:i/>
          <w:sz w:val="24"/>
          <w:szCs w:val="24"/>
          <w:lang w:val="en-GB"/>
        </w:rPr>
        <w:t>Formation of tin ore deposits: A reassessment</w:t>
      </w:r>
      <w:r>
        <w:rPr>
          <w:rFonts w:ascii="Times New Roman" w:hAnsi="Times New Roman" w:cs="Times New Roman"/>
          <w:sz w:val="24"/>
          <w:szCs w:val="24"/>
          <w:lang w:val="en-GB"/>
        </w:rPr>
        <w:t xml:space="preserve">. Lithos, In Press, Journal Pre-proof. </w:t>
      </w:r>
      <w:hyperlink r:id="rId11" w:history="1">
        <w:r w:rsidR="00ED2A85" w:rsidRPr="00133251">
          <w:rPr>
            <w:rStyle w:val="Hyperlink"/>
            <w:rFonts w:ascii="Times New Roman" w:hAnsi="Times New Roman" w:cs="Times New Roman"/>
            <w:sz w:val="24"/>
            <w:szCs w:val="24"/>
            <w:lang w:val="en-GB"/>
          </w:rPr>
          <w:t>https://doi.org/10.1016/j.lithos.2020.105756</w:t>
        </w:r>
      </w:hyperlink>
      <w:r w:rsidR="00ED2A85">
        <w:rPr>
          <w:rFonts w:ascii="Times New Roman" w:hAnsi="Times New Roman" w:cs="Times New Roman"/>
          <w:sz w:val="24"/>
          <w:szCs w:val="24"/>
          <w:lang w:val="en-GB"/>
        </w:rPr>
        <w:t>.</w:t>
      </w:r>
    </w:p>
    <w:p w:rsidR="00ED2A85" w:rsidRDefault="00ED2A85" w:rsidP="003E7362">
      <w:pPr>
        <w:spacing w:after="0" w:line="24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N</w:t>
      </w:r>
      <w:r w:rsidRPr="00ED2A85">
        <w:rPr>
          <w:rFonts w:ascii="Times New Roman" w:hAnsi="Times New Roman" w:cs="Times New Roman"/>
          <w:sz w:val="24"/>
          <w:szCs w:val="24"/>
          <w:lang w:val="en-GB"/>
        </w:rPr>
        <w:t>.K.Sapari</w:t>
      </w:r>
      <w:r>
        <w:rPr>
          <w:rFonts w:ascii="Times New Roman" w:hAnsi="Times New Roman" w:cs="Times New Roman"/>
          <w:sz w:val="24"/>
          <w:szCs w:val="24"/>
          <w:lang w:val="en-GB"/>
        </w:rPr>
        <w:t xml:space="preserve">, </w:t>
      </w:r>
      <w:r w:rsidRPr="00ED2A85">
        <w:rPr>
          <w:rFonts w:ascii="Times New Roman" w:hAnsi="Times New Roman" w:cs="Times New Roman"/>
          <w:sz w:val="24"/>
          <w:szCs w:val="24"/>
          <w:lang w:val="en-GB"/>
        </w:rPr>
        <w:t>H.Zabidi</w:t>
      </w:r>
      <w:r>
        <w:rPr>
          <w:rFonts w:ascii="Times New Roman" w:hAnsi="Times New Roman" w:cs="Times New Roman"/>
          <w:sz w:val="24"/>
          <w:szCs w:val="24"/>
          <w:lang w:val="en-GB"/>
        </w:rPr>
        <w:t xml:space="preserve">, </w:t>
      </w:r>
      <w:r w:rsidRPr="00ED2A85">
        <w:rPr>
          <w:rFonts w:ascii="Times New Roman" w:hAnsi="Times New Roman" w:cs="Times New Roman"/>
          <w:sz w:val="24"/>
          <w:szCs w:val="24"/>
          <w:lang w:val="en-GB"/>
        </w:rPr>
        <w:t>K.S.Ariffin</w:t>
      </w:r>
      <w:r>
        <w:rPr>
          <w:rFonts w:ascii="Times New Roman" w:hAnsi="Times New Roman" w:cs="Times New Roman"/>
          <w:sz w:val="24"/>
          <w:szCs w:val="24"/>
          <w:lang w:val="en-GB"/>
        </w:rPr>
        <w:t xml:space="preserve">. 2016. </w:t>
      </w:r>
      <w:r w:rsidRPr="00ED2A85">
        <w:rPr>
          <w:rFonts w:ascii="Times New Roman" w:hAnsi="Times New Roman" w:cs="Times New Roman"/>
          <w:i/>
          <w:sz w:val="24"/>
          <w:szCs w:val="24"/>
          <w:lang w:val="en-GB"/>
        </w:rPr>
        <w:t>Geochemical Prospecting of tin Mineralization Zone at Belukar Semang Prospect, Gerik, Perak</w:t>
      </w:r>
      <w:r>
        <w:rPr>
          <w:rFonts w:ascii="Times New Roman" w:hAnsi="Times New Roman" w:cs="Times New Roman"/>
          <w:sz w:val="24"/>
          <w:szCs w:val="24"/>
          <w:lang w:val="en-GB"/>
        </w:rPr>
        <w:t xml:space="preserve">. Procedia Chemistry, Volume 19, 2016, Page 729-736. </w:t>
      </w:r>
      <w:hyperlink r:id="rId12" w:history="1">
        <w:r w:rsidRPr="00133251">
          <w:rPr>
            <w:rStyle w:val="Hyperlink"/>
            <w:rFonts w:ascii="Times New Roman" w:hAnsi="Times New Roman" w:cs="Times New Roman"/>
            <w:sz w:val="24"/>
            <w:szCs w:val="24"/>
            <w:lang w:val="en-GB"/>
          </w:rPr>
          <w:t>https://doi.org/10.1016/j.proche.2016.03.077</w:t>
        </w:r>
      </w:hyperlink>
      <w:r>
        <w:rPr>
          <w:rFonts w:ascii="Times New Roman" w:hAnsi="Times New Roman" w:cs="Times New Roman"/>
          <w:sz w:val="24"/>
          <w:szCs w:val="24"/>
          <w:lang w:val="en-GB"/>
        </w:rPr>
        <w:t>.</w:t>
      </w:r>
    </w:p>
    <w:p w:rsidR="007D2290" w:rsidRDefault="00ED2A85" w:rsidP="007D2290">
      <w:pPr>
        <w:spacing w:after="0" w:line="240" w:lineRule="auto"/>
        <w:ind w:left="567" w:hanging="567"/>
        <w:jc w:val="both"/>
        <w:rPr>
          <w:rFonts w:ascii="Times New Roman" w:hAnsi="Times New Roman" w:cs="Times New Roman"/>
          <w:sz w:val="24"/>
          <w:szCs w:val="24"/>
          <w:lang w:val="en-GB"/>
        </w:rPr>
      </w:pPr>
      <w:r w:rsidRPr="00ED2A85">
        <w:rPr>
          <w:rFonts w:ascii="Times New Roman" w:hAnsi="Times New Roman" w:cs="Times New Roman"/>
          <w:sz w:val="24"/>
          <w:szCs w:val="24"/>
          <w:lang w:val="en-GB"/>
        </w:rPr>
        <w:t>Noor Fauzi Isniarno, Muhammad Reyhand Alfarrel, Bagea Bagja Gumelar</w:t>
      </w:r>
      <w:r>
        <w:rPr>
          <w:rFonts w:ascii="Times New Roman" w:hAnsi="Times New Roman" w:cs="Times New Roman"/>
          <w:sz w:val="24"/>
          <w:szCs w:val="24"/>
          <w:lang w:val="en-GB"/>
        </w:rPr>
        <w:t xml:space="preserve">. 2020. </w:t>
      </w:r>
      <w:r w:rsidRPr="00ED2A85">
        <w:rPr>
          <w:rFonts w:ascii="Times New Roman" w:hAnsi="Times New Roman" w:cs="Times New Roman"/>
          <w:i/>
          <w:sz w:val="24"/>
          <w:szCs w:val="24"/>
          <w:lang w:val="en-GB"/>
        </w:rPr>
        <w:t>Optimasi Iterasi Dan Root Means Square (Rms) Dalam Penentuan Batas Litologi Dari Vertikal Elektrical Sounding (Ves)</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Ethos :</w:t>
      </w:r>
      <w:proofErr w:type="gramEnd"/>
      <w:r>
        <w:rPr>
          <w:rFonts w:ascii="Times New Roman" w:hAnsi="Times New Roman" w:cs="Times New Roman"/>
          <w:sz w:val="24"/>
          <w:szCs w:val="24"/>
          <w:lang w:val="en-GB"/>
        </w:rPr>
        <w:t xml:space="preserve"> Journal Penelitian dan Pengabdian Kepada Masyarakat (Sains &amp; Teknologi), Volume 8 No. 1. </w:t>
      </w:r>
      <w:hyperlink r:id="rId13" w:history="1">
        <w:r w:rsidRPr="00133251">
          <w:rPr>
            <w:rStyle w:val="Hyperlink"/>
            <w:rFonts w:ascii="Times New Roman" w:hAnsi="Times New Roman" w:cs="Times New Roman"/>
            <w:sz w:val="24"/>
            <w:szCs w:val="24"/>
            <w:lang w:val="en-GB"/>
          </w:rPr>
          <w:t>https://doi.org/10.29313/ethos.v8i1.5058</w:t>
        </w:r>
      </w:hyperlink>
      <w:r>
        <w:rPr>
          <w:rFonts w:ascii="Times New Roman" w:hAnsi="Times New Roman" w:cs="Times New Roman"/>
          <w:sz w:val="24"/>
          <w:szCs w:val="24"/>
          <w:lang w:val="en-GB"/>
        </w:rPr>
        <w:t>.</w:t>
      </w:r>
    </w:p>
    <w:p w:rsidR="00ED2A85" w:rsidRDefault="007D2290" w:rsidP="00ED2A85">
      <w:pPr>
        <w:spacing w:after="0" w:line="240" w:lineRule="auto"/>
        <w:ind w:left="567" w:hanging="567"/>
        <w:jc w:val="both"/>
        <w:rPr>
          <w:rFonts w:ascii="Times New Roman" w:hAnsi="Times New Roman" w:cs="Times New Roman"/>
          <w:sz w:val="24"/>
          <w:szCs w:val="24"/>
          <w:lang w:val="en-GB"/>
        </w:rPr>
      </w:pPr>
      <w:r w:rsidRPr="007D2290">
        <w:rPr>
          <w:rFonts w:ascii="Times New Roman" w:hAnsi="Times New Roman" w:cs="Times New Roman"/>
          <w:sz w:val="24"/>
          <w:szCs w:val="24"/>
          <w:lang w:val="en-GB"/>
        </w:rPr>
        <w:t>Eduardo A.Brocchi</w:t>
      </w:r>
      <w:r>
        <w:rPr>
          <w:rFonts w:ascii="Times New Roman" w:hAnsi="Times New Roman" w:cs="Times New Roman"/>
          <w:sz w:val="24"/>
          <w:szCs w:val="24"/>
          <w:lang w:val="en-GB"/>
        </w:rPr>
        <w:t xml:space="preserve">, </w:t>
      </w:r>
      <w:r w:rsidRPr="007D2290">
        <w:rPr>
          <w:rFonts w:ascii="Times New Roman" w:hAnsi="Times New Roman" w:cs="Times New Roman"/>
          <w:sz w:val="24"/>
          <w:szCs w:val="24"/>
          <w:lang w:val="en-GB"/>
        </w:rPr>
        <w:t>Francisco J.Mou</w:t>
      </w:r>
      <w:r>
        <w:rPr>
          <w:rFonts w:ascii="Times New Roman" w:hAnsi="Times New Roman" w:cs="Times New Roman"/>
          <w:sz w:val="24"/>
          <w:szCs w:val="24"/>
          <w:lang w:val="en-GB"/>
        </w:rPr>
        <w:t xml:space="preserve">ra. 2008. </w:t>
      </w:r>
      <w:r w:rsidRPr="007D2290">
        <w:rPr>
          <w:rFonts w:ascii="Times New Roman" w:hAnsi="Times New Roman" w:cs="Times New Roman"/>
          <w:i/>
          <w:sz w:val="24"/>
          <w:szCs w:val="24"/>
          <w:lang w:val="en-GB"/>
        </w:rPr>
        <w:t>Chlorination methods applied to recover refractory metals from tin slags.</w:t>
      </w:r>
      <w:r>
        <w:rPr>
          <w:rFonts w:ascii="Times New Roman" w:hAnsi="Times New Roman" w:cs="Times New Roman"/>
          <w:sz w:val="24"/>
          <w:szCs w:val="24"/>
          <w:lang w:val="en-GB"/>
        </w:rPr>
        <w:t xml:space="preserve"> Mineral Engineering, Volume 21, Issue 2, page 150-156. </w:t>
      </w:r>
      <w:hyperlink r:id="rId14" w:history="1">
        <w:r w:rsidRPr="00133251">
          <w:rPr>
            <w:rStyle w:val="Hyperlink"/>
            <w:rFonts w:ascii="Times New Roman" w:hAnsi="Times New Roman" w:cs="Times New Roman"/>
            <w:sz w:val="24"/>
            <w:szCs w:val="24"/>
            <w:lang w:val="en-GB"/>
          </w:rPr>
          <w:t>https://doi.org/10.1016/j.mineng.2007.08.011</w:t>
        </w:r>
      </w:hyperlink>
      <w:r>
        <w:rPr>
          <w:rFonts w:ascii="Times New Roman" w:hAnsi="Times New Roman" w:cs="Times New Roman"/>
          <w:sz w:val="24"/>
          <w:szCs w:val="24"/>
          <w:lang w:val="en-GB"/>
        </w:rPr>
        <w:t>.</w:t>
      </w:r>
    </w:p>
    <w:p w:rsidR="007D2290" w:rsidRDefault="007D2290" w:rsidP="00ED2A85">
      <w:pPr>
        <w:spacing w:after="0" w:line="240" w:lineRule="auto"/>
        <w:ind w:left="567" w:hanging="567"/>
        <w:jc w:val="both"/>
        <w:rPr>
          <w:rFonts w:ascii="Times New Roman" w:hAnsi="Times New Roman" w:cs="Times New Roman"/>
          <w:sz w:val="24"/>
          <w:szCs w:val="24"/>
          <w:lang w:val="en-GB"/>
        </w:rPr>
      </w:pPr>
      <w:r w:rsidRPr="007D2290">
        <w:rPr>
          <w:rFonts w:ascii="Times New Roman" w:hAnsi="Times New Roman" w:cs="Times New Roman"/>
          <w:sz w:val="24"/>
          <w:szCs w:val="24"/>
          <w:lang w:val="en-GB"/>
        </w:rPr>
        <w:t>Zhenxing</w:t>
      </w:r>
      <w:r>
        <w:rPr>
          <w:rFonts w:ascii="Times New Roman" w:hAnsi="Times New Roman" w:cs="Times New Roman"/>
          <w:sz w:val="24"/>
          <w:szCs w:val="24"/>
          <w:lang w:val="en-GB"/>
        </w:rPr>
        <w:t xml:space="preserve"> Xing, </w:t>
      </w:r>
      <w:r w:rsidRPr="007D2290">
        <w:rPr>
          <w:rFonts w:ascii="Times New Roman" w:hAnsi="Times New Roman" w:cs="Times New Roman"/>
          <w:sz w:val="24"/>
          <w:szCs w:val="24"/>
          <w:lang w:val="en-GB"/>
        </w:rPr>
        <w:t>Gongjin</w:t>
      </w:r>
      <w:r>
        <w:rPr>
          <w:rFonts w:ascii="Times New Roman" w:hAnsi="Times New Roman" w:cs="Times New Roman"/>
          <w:sz w:val="24"/>
          <w:szCs w:val="24"/>
          <w:lang w:val="en-GB"/>
        </w:rPr>
        <w:t xml:space="preserve"> </w:t>
      </w:r>
      <w:r w:rsidRPr="007D2290">
        <w:rPr>
          <w:rFonts w:ascii="Times New Roman" w:hAnsi="Times New Roman" w:cs="Times New Roman"/>
          <w:sz w:val="24"/>
          <w:szCs w:val="24"/>
          <w:lang w:val="en-GB"/>
        </w:rPr>
        <w:t>Cheng</w:t>
      </w:r>
      <w:r>
        <w:rPr>
          <w:rFonts w:ascii="Times New Roman" w:hAnsi="Times New Roman" w:cs="Times New Roman"/>
          <w:sz w:val="24"/>
          <w:szCs w:val="24"/>
          <w:lang w:val="en-GB"/>
        </w:rPr>
        <w:t xml:space="preserve">, </w:t>
      </w:r>
      <w:r w:rsidRPr="007D2290">
        <w:rPr>
          <w:rFonts w:ascii="Times New Roman" w:hAnsi="Times New Roman" w:cs="Times New Roman"/>
          <w:sz w:val="24"/>
          <w:szCs w:val="24"/>
          <w:lang w:val="en-GB"/>
        </w:rPr>
        <w:t>HeYang</w:t>
      </w:r>
      <w:r>
        <w:rPr>
          <w:rFonts w:ascii="Times New Roman" w:hAnsi="Times New Roman" w:cs="Times New Roman"/>
          <w:sz w:val="24"/>
          <w:szCs w:val="24"/>
          <w:lang w:val="en-GB"/>
        </w:rPr>
        <w:t xml:space="preserve">. 2020. </w:t>
      </w:r>
      <w:r w:rsidRPr="007D2290">
        <w:rPr>
          <w:rFonts w:ascii="Times New Roman" w:hAnsi="Times New Roman" w:cs="Times New Roman"/>
          <w:i/>
          <w:sz w:val="24"/>
          <w:szCs w:val="24"/>
          <w:lang w:val="en-GB"/>
        </w:rPr>
        <w:t>Mechanism and application of the ore with chlorination treatment: A review</w:t>
      </w:r>
      <w:r>
        <w:rPr>
          <w:rFonts w:ascii="Times New Roman" w:hAnsi="Times New Roman" w:cs="Times New Roman"/>
          <w:sz w:val="24"/>
          <w:szCs w:val="24"/>
          <w:lang w:val="en-GB"/>
        </w:rPr>
        <w:t xml:space="preserve">. Mineral Engineering, Volume 154, 106404. </w:t>
      </w:r>
      <w:hyperlink r:id="rId15" w:history="1">
        <w:r w:rsidRPr="00133251">
          <w:rPr>
            <w:rStyle w:val="Hyperlink"/>
            <w:rFonts w:ascii="Times New Roman" w:hAnsi="Times New Roman" w:cs="Times New Roman"/>
            <w:sz w:val="24"/>
            <w:szCs w:val="24"/>
            <w:lang w:val="en-GB"/>
          </w:rPr>
          <w:t>https://doi.org/10.1016/j.mineng.2020.106404</w:t>
        </w:r>
      </w:hyperlink>
      <w:r>
        <w:rPr>
          <w:rFonts w:ascii="Times New Roman" w:hAnsi="Times New Roman" w:cs="Times New Roman"/>
          <w:sz w:val="24"/>
          <w:szCs w:val="24"/>
          <w:lang w:val="en-GB"/>
        </w:rPr>
        <w:t>.</w:t>
      </w:r>
    </w:p>
    <w:p w:rsidR="00F61709" w:rsidRDefault="00F61709" w:rsidP="00ED2A85">
      <w:pPr>
        <w:spacing w:after="0" w:line="240" w:lineRule="auto"/>
        <w:ind w:left="567" w:hanging="567"/>
        <w:jc w:val="both"/>
        <w:rPr>
          <w:rFonts w:ascii="Times New Roman" w:hAnsi="Times New Roman" w:cs="Times New Roman"/>
          <w:sz w:val="24"/>
          <w:szCs w:val="24"/>
          <w:lang w:val="en-GB"/>
        </w:rPr>
      </w:pPr>
      <w:r w:rsidRPr="00F61709">
        <w:rPr>
          <w:rFonts w:ascii="Times New Roman" w:hAnsi="Times New Roman" w:cs="Times New Roman"/>
          <w:sz w:val="24"/>
          <w:szCs w:val="24"/>
          <w:lang w:val="en-GB"/>
        </w:rPr>
        <w:t>Joaquín</w:t>
      </w:r>
      <w:r>
        <w:rPr>
          <w:rFonts w:ascii="Times New Roman" w:hAnsi="Times New Roman" w:cs="Times New Roman"/>
          <w:sz w:val="24"/>
          <w:szCs w:val="24"/>
          <w:lang w:val="en-GB"/>
        </w:rPr>
        <w:t xml:space="preserve"> J</w:t>
      </w:r>
      <w:r w:rsidRPr="00F61709">
        <w:rPr>
          <w:rFonts w:ascii="Times New Roman" w:hAnsi="Times New Roman" w:cs="Times New Roman"/>
          <w:sz w:val="24"/>
          <w:szCs w:val="24"/>
          <w:lang w:val="en-GB"/>
        </w:rPr>
        <w:t>ara</w:t>
      </w:r>
      <w:r>
        <w:rPr>
          <w:rFonts w:ascii="Times New Roman" w:hAnsi="Times New Roman" w:cs="Times New Roman"/>
          <w:sz w:val="24"/>
          <w:szCs w:val="24"/>
          <w:lang w:val="en-GB"/>
        </w:rPr>
        <w:t xml:space="preserve">. 2017. </w:t>
      </w:r>
      <w:r w:rsidRPr="00F61709">
        <w:rPr>
          <w:rFonts w:ascii="Times New Roman" w:hAnsi="Times New Roman" w:cs="Times New Roman"/>
          <w:sz w:val="24"/>
          <w:szCs w:val="24"/>
          <w:lang w:val="en-GB"/>
        </w:rPr>
        <w:t>Determinants of country competitiveness in attracting mining investments: An empirical analysis</w:t>
      </w:r>
      <w:r>
        <w:rPr>
          <w:rFonts w:ascii="Times New Roman" w:hAnsi="Times New Roman" w:cs="Times New Roman"/>
          <w:sz w:val="24"/>
          <w:szCs w:val="24"/>
          <w:lang w:val="en-GB"/>
        </w:rPr>
        <w:t xml:space="preserve">. Resources Policy, Volume 52, June 2017, Page 65-71. </w:t>
      </w:r>
      <w:hyperlink r:id="rId16" w:history="1">
        <w:r w:rsidRPr="00133251">
          <w:rPr>
            <w:rStyle w:val="Hyperlink"/>
            <w:rFonts w:ascii="Times New Roman" w:hAnsi="Times New Roman" w:cs="Times New Roman"/>
            <w:sz w:val="24"/>
            <w:szCs w:val="24"/>
            <w:lang w:val="en-GB"/>
          </w:rPr>
          <w:t>https://doi.org/10.1016/j.resourpol.2017.01.016</w:t>
        </w:r>
      </w:hyperlink>
      <w:r>
        <w:rPr>
          <w:rFonts w:ascii="Times New Roman" w:hAnsi="Times New Roman" w:cs="Times New Roman"/>
          <w:sz w:val="24"/>
          <w:szCs w:val="24"/>
          <w:lang w:val="en-GB"/>
        </w:rPr>
        <w:t>.</w:t>
      </w:r>
    </w:p>
    <w:p w:rsidR="00F61709" w:rsidRDefault="00F61709" w:rsidP="00ED2A85">
      <w:pPr>
        <w:spacing w:after="0" w:line="240" w:lineRule="auto"/>
        <w:ind w:left="567" w:hanging="567"/>
        <w:jc w:val="both"/>
        <w:rPr>
          <w:rFonts w:ascii="Times New Roman" w:hAnsi="Times New Roman" w:cs="Times New Roman"/>
          <w:sz w:val="24"/>
          <w:szCs w:val="24"/>
          <w:lang w:val="en-GB"/>
        </w:rPr>
      </w:pPr>
      <w:r w:rsidRPr="00F61709">
        <w:rPr>
          <w:rFonts w:ascii="Times New Roman" w:hAnsi="Times New Roman" w:cs="Times New Roman"/>
          <w:sz w:val="24"/>
          <w:szCs w:val="24"/>
          <w:lang w:val="en-GB"/>
        </w:rPr>
        <w:t>Ungki</w:t>
      </w:r>
      <w:r>
        <w:rPr>
          <w:rFonts w:ascii="Times New Roman" w:hAnsi="Times New Roman" w:cs="Times New Roman"/>
          <w:sz w:val="24"/>
          <w:szCs w:val="24"/>
          <w:lang w:val="en-GB"/>
        </w:rPr>
        <w:t xml:space="preserve"> Lee, </w:t>
      </w:r>
      <w:r w:rsidRPr="00F61709">
        <w:rPr>
          <w:rFonts w:ascii="Times New Roman" w:hAnsi="Times New Roman" w:cs="Times New Roman"/>
          <w:sz w:val="24"/>
          <w:szCs w:val="24"/>
          <w:lang w:val="en-GB"/>
        </w:rPr>
        <w:t>Namwoo</w:t>
      </w:r>
      <w:r>
        <w:rPr>
          <w:rFonts w:ascii="Times New Roman" w:hAnsi="Times New Roman" w:cs="Times New Roman"/>
          <w:sz w:val="24"/>
          <w:szCs w:val="24"/>
          <w:lang w:val="en-GB"/>
        </w:rPr>
        <w:t xml:space="preserve"> Kang, </w:t>
      </w:r>
      <w:r w:rsidRPr="00F61709">
        <w:rPr>
          <w:rFonts w:ascii="Times New Roman" w:hAnsi="Times New Roman" w:cs="Times New Roman"/>
          <w:sz w:val="24"/>
          <w:szCs w:val="24"/>
          <w:lang w:val="en-GB"/>
        </w:rPr>
        <w:t>Ikjin</w:t>
      </w:r>
      <w:r>
        <w:rPr>
          <w:rFonts w:ascii="Times New Roman" w:hAnsi="Times New Roman" w:cs="Times New Roman"/>
          <w:sz w:val="24"/>
          <w:szCs w:val="24"/>
          <w:lang w:val="en-GB"/>
        </w:rPr>
        <w:t xml:space="preserve"> </w:t>
      </w:r>
      <w:r w:rsidRPr="00F61709">
        <w:rPr>
          <w:rFonts w:ascii="Times New Roman" w:hAnsi="Times New Roman" w:cs="Times New Roman"/>
          <w:sz w:val="24"/>
          <w:szCs w:val="24"/>
          <w:lang w:val="en-GB"/>
        </w:rPr>
        <w:t>Lee</w:t>
      </w:r>
      <w:r>
        <w:rPr>
          <w:rFonts w:ascii="Times New Roman" w:hAnsi="Times New Roman" w:cs="Times New Roman"/>
          <w:sz w:val="24"/>
          <w:szCs w:val="24"/>
          <w:lang w:val="en-GB"/>
        </w:rPr>
        <w:t xml:space="preserve">. </w:t>
      </w:r>
      <w:r w:rsidRPr="00F61709">
        <w:rPr>
          <w:rFonts w:ascii="Times New Roman" w:hAnsi="Times New Roman" w:cs="Times New Roman"/>
          <w:sz w:val="24"/>
          <w:szCs w:val="24"/>
          <w:lang w:val="en-GB"/>
        </w:rPr>
        <w:t>Choice data generation using usage scenarios and discounted cash flow analysis</w:t>
      </w:r>
      <w:r>
        <w:rPr>
          <w:rFonts w:ascii="Times New Roman" w:hAnsi="Times New Roman" w:cs="Times New Roman"/>
          <w:sz w:val="24"/>
          <w:szCs w:val="24"/>
          <w:lang w:val="en-GB"/>
        </w:rPr>
        <w:t xml:space="preserve">. Journal of Choice Modelling, 2020, 100250. </w:t>
      </w:r>
      <w:hyperlink r:id="rId17" w:history="1">
        <w:r w:rsidRPr="00133251">
          <w:rPr>
            <w:rStyle w:val="Hyperlink"/>
            <w:rFonts w:ascii="Times New Roman" w:hAnsi="Times New Roman" w:cs="Times New Roman"/>
            <w:sz w:val="24"/>
            <w:szCs w:val="24"/>
            <w:lang w:val="en-GB"/>
          </w:rPr>
          <w:t>https://doi.org/10.1016/j.jocm.2020.100250</w:t>
        </w:r>
      </w:hyperlink>
      <w:r>
        <w:rPr>
          <w:rFonts w:ascii="Times New Roman" w:hAnsi="Times New Roman" w:cs="Times New Roman"/>
          <w:sz w:val="24"/>
          <w:szCs w:val="24"/>
          <w:lang w:val="en-GB"/>
        </w:rPr>
        <w:t xml:space="preserve">. </w:t>
      </w:r>
    </w:p>
    <w:p w:rsidR="00F61709" w:rsidRDefault="00F61709" w:rsidP="00ED2A85">
      <w:pPr>
        <w:spacing w:after="0" w:line="240" w:lineRule="auto"/>
        <w:ind w:left="567" w:hanging="567"/>
        <w:jc w:val="both"/>
        <w:rPr>
          <w:rFonts w:ascii="Times New Roman" w:hAnsi="Times New Roman" w:cs="Times New Roman"/>
          <w:sz w:val="24"/>
          <w:szCs w:val="24"/>
          <w:lang w:val="en-GB"/>
        </w:rPr>
      </w:pPr>
    </w:p>
    <w:p w:rsidR="007D2290" w:rsidRPr="003E7362" w:rsidRDefault="007D2290" w:rsidP="00ED2A85">
      <w:pPr>
        <w:spacing w:after="0" w:line="240" w:lineRule="auto"/>
        <w:ind w:left="567" w:hanging="567"/>
        <w:jc w:val="both"/>
        <w:rPr>
          <w:rFonts w:ascii="Times New Roman" w:hAnsi="Times New Roman" w:cs="Times New Roman"/>
          <w:sz w:val="24"/>
          <w:szCs w:val="24"/>
          <w:lang w:val="en-GB"/>
        </w:rPr>
      </w:pPr>
    </w:p>
    <w:sectPr w:rsidR="007D2290" w:rsidRPr="003E73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B4C23"/>
    <w:multiLevelType w:val="hybridMultilevel"/>
    <w:tmpl w:val="F0F4508A"/>
    <w:lvl w:ilvl="0" w:tplc="8FBCA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790E80"/>
    <w:multiLevelType w:val="hybridMultilevel"/>
    <w:tmpl w:val="562EAE02"/>
    <w:lvl w:ilvl="0" w:tplc="8F424E9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3710A2"/>
    <w:multiLevelType w:val="hybridMultilevel"/>
    <w:tmpl w:val="3D38F654"/>
    <w:lvl w:ilvl="0" w:tplc="B9AC908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02613"/>
    <w:multiLevelType w:val="hybridMultilevel"/>
    <w:tmpl w:val="2BEA0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F2583"/>
    <w:multiLevelType w:val="hybridMultilevel"/>
    <w:tmpl w:val="7E249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E5"/>
    <w:rsid w:val="00047572"/>
    <w:rsid w:val="000B3F89"/>
    <w:rsid w:val="002910AC"/>
    <w:rsid w:val="00342B9B"/>
    <w:rsid w:val="0035205C"/>
    <w:rsid w:val="00380D21"/>
    <w:rsid w:val="003E7362"/>
    <w:rsid w:val="005A30D2"/>
    <w:rsid w:val="005E0C9B"/>
    <w:rsid w:val="006149DE"/>
    <w:rsid w:val="0072162F"/>
    <w:rsid w:val="00724231"/>
    <w:rsid w:val="007D2290"/>
    <w:rsid w:val="0081473A"/>
    <w:rsid w:val="00831E25"/>
    <w:rsid w:val="008F2102"/>
    <w:rsid w:val="00B761A6"/>
    <w:rsid w:val="00C847E5"/>
    <w:rsid w:val="00ED2A85"/>
    <w:rsid w:val="00F6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D75C9-803B-4D75-9C0B-BC3EA7D7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7E5"/>
    <w:pPr>
      <w:ind w:left="720"/>
      <w:contextualSpacing/>
    </w:pPr>
  </w:style>
  <w:style w:type="character" w:styleId="Hyperlink">
    <w:name w:val="Hyperlink"/>
    <w:basedOn w:val="DefaultParagraphFont"/>
    <w:uiPriority w:val="99"/>
    <w:unhideWhenUsed/>
    <w:rsid w:val="00C847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70066">
      <w:bodyDiv w:val="1"/>
      <w:marLeft w:val="0"/>
      <w:marRight w:val="0"/>
      <w:marTop w:val="0"/>
      <w:marBottom w:val="0"/>
      <w:divBdr>
        <w:top w:val="none" w:sz="0" w:space="0" w:color="auto"/>
        <w:left w:val="none" w:sz="0" w:space="0" w:color="auto"/>
        <w:bottom w:val="none" w:sz="0" w:space="0" w:color="auto"/>
        <w:right w:val="none" w:sz="0" w:space="0" w:color="auto"/>
      </w:divBdr>
      <w:divsChild>
        <w:div w:id="157893193">
          <w:marLeft w:val="0"/>
          <w:marRight w:val="0"/>
          <w:marTop w:val="0"/>
          <w:marBottom w:val="0"/>
          <w:divBdr>
            <w:top w:val="none" w:sz="0" w:space="0" w:color="auto"/>
            <w:left w:val="none" w:sz="0" w:space="0" w:color="auto"/>
            <w:bottom w:val="none" w:sz="0" w:space="0" w:color="auto"/>
            <w:right w:val="none" w:sz="0" w:space="0" w:color="auto"/>
          </w:divBdr>
          <w:divsChild>
            <w:div w:id="901604222">
              <w:marLeft w:val="0"/>
              <w:marRight w:val="0"/>
              <w:marTop w:val="0"/>
              <w:marBottom w:val="0"/>
              <w:divBdr>
                <w:top w:val="none" w:sz="0" w:space="0" w:color="auto"/>
                <w:left w:val="none" w:sz="0" w:space="0" w:color="auto"/>
                <w:bottom w:val="none" w:sz="0" w:space="0" w:color="auto"/>
                <w:right w:val="none" w:sz="0" w:space="0" w:color="auto"/>
              </w:divBdr>
              <w:divsChild>
                <w:div w:id="2012248544">
                  <w:marLeft w:val="0"/>
                  <w:marRight w:val="0"/>
                  <w:marTop w:val="0"/>
                  <w:marBottom w:val="0"/>
                  <w:divBdr>
                    <w:top w:val="none" w:sz="0" w:space="0" w:color="auto"/>
                    <w:left w:val="none" w:sz="0" w:space="0" w:color="auto"/>
                    <w:bottom w:val="none" w:sz="0" w:space="0" w:color="auto"/>
                    <w:right w:val="none" w:sz="0" w:space="0" w:color="auto"/>
                  </w:divBdr>
                  <w:divsChild>
                    <w:div w:id="501824879">
                      <w:marLeft w:val="0"/>
                      <w:marRight w:val="0"/>
                      <w:marTop w:val="0"/>
                      <w:marBottom w:val="0"/>
                      <w:divBdr>
                        <w:top w:val="none" w:sz="0" w:space="0" w:color="auto"/>
                        <w:left w:val="none" w:sz="0" w:space="0" w:color="auto"/>
                        <w:bottom w:val="none" w:sz="0" w:space="0" w:color="auto"/>
                        <w:right w:val="none" w:sz="0" w:space="0" w:color="auto"/>
                      </w:divBdr>
                      <w:divsChild>
                        <w:div w:id="283854583">
                          <w:marLeft w:val="0"/>
                          <w:marRight w:val="0"/>
                          <w:marTop w:val="0"/>
                          <w:marBottom w:val="0"/>
                          <w:divBdr>
                            <w:top w:val="none" w:sz="0" w:space="0" w:color="auto"/>
                            <w:left w:val="none" w:sz="0" w:space="0" w:color="auto"/>
                            <w:bottom w:val="none" w:sz="0" w:space="0" w:color="auto"/>
                            <w:right w:val="none" w:sz="0" w:space="0" w:color="auto"/>
                          </w:divBdr>
                          <w:divsChild>
                            <w:div w:id="773788824">
                              <w:marLeft w:val="0"/>
                              <w:marRight w:val="300"/>
                              <w:marTop w:val="180"/>
                              <w:marBottom w:val="0"/>
                              <w:divBdr>
                                <w:top w:val="none" w:sz="0" w:space="0" w:color="auto"/>
                                <w:left w:val="none" w:sz="0" w:space="0" w:color="auto"/>
                                <w:bottom w:val="none" w:sz="0" w:space="0" w:color="auto"/>
                                <w:right w:val="none" w:sz="0" w:space="0" w:color="auto"/>
                              </w:divBdr>
                              <w:divsChild>
                                <w:div w:id="9639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364283">
          <w:marLeft w:val="0"/>
          <w:marRight w:val="0"/>
          <w:marTop w:val="0"/>
          <w:marBottom w:val="0"/>
          <w:divBdr>
            <w:top w:val="none" w:sz="0" w:space="0" w:color="auto"/>
            <w:left w:val="none" w:sz="0" w:space="0" w:color="auto"/>
            <w:bottom w:val="none" w:sz="0" w:space="0" w:color="auto"/>
            <w:right w:val="none" w:sz="0" w:space="0" w:color="auto"/>
          </w:divBdr>
          <w:divsChild>
            <w:div w:id="2056351795">
              <w:marLeft w:val="0"/>
              <w:marRight w:val="0"/>
              <w:marTop w:val="0"/>
              <w:marBottom w:val="0"/>
              <w:divBdr>
                <w:top w:val="none" w:sz="0" w:space="0" w:color="auto"/>
                <w:left w:val="none" w:sz="0" w:space="0" w:color="auto"/>
                <w:bottom w:val="none" w:sz="0" w:space="0" w:color="auto"/>
                <w:right w:val="none" w:sz="0" w:space="0" w:color="auto"/>
              </w:divBdr>
              <w:divsChild>
                <w:div w:id="678511627">
                  <w:marLeft w:val="0"/>
                  <w:marRight w:val="0"/>
                  <w:marTop w:val="0"/>
                  <w:marBottom w:val="0"/>
                  <w:divBdr>
                    <w:top w:val="none" w:sz="0" w:space="0" w:color="auto"/>
                    <w:left w:val="none" w:sz="0" w:space="0" w:color="auto"/>
                    <w:bottom w:val="none" w:sz="0" w:space="0" w:color="auto"/>
                    <w:right w:val="none" w:sz="0" w:space="0" w:color="auto"/>
                  </w:divBdr>
                  <w:divsChild>
                    <w:div w:id="1768311117">
                      <w:marLeft w:val="0"/>
                      <w:marRight w:val="0"/>
                      <w:marTop w:val="0"/>
                      <w:marBottom w:val="0"/>
                      <w:divBdr>
                        <w:top w:val="none" w:sz="0" w:space="0" w:color="auto"/>
                        <w:left w:val="none" w:sz="0" w:space="0" w:color="auto"/>
                        <w:bottom w:val="none" w:sz="0" w:space="0" w:color="auto"/>
                        <w:right w:val="none" w:sz="0" w:space="0" w:color="auto"/>
                      </w:divBdr>
                      <w:divsChild>
                        <w:div w:id="20311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9313/ethos.v8i1.505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oor_fauzi_isniarno@yahoo.com" TargetMode="External"/><Relationship Id="rId12" Type="http://schemas.openxmlformats.org/officeDocument/2006/relationships/hyperlink" Target="https://doi.org/10.1016/j.proche.2016.03.077" TargetMode="External"/><Relationship Id="rId17" Type="http://schemas.openxmlformats.org/officeDocument/2006/relationships/hyperlink" Target="https://doi.org/10.1016/j.jocm.2020.100250" TargetMode="External"/><Relationship Id="rId2" Type="http://schemas.openxmlformats.org/officeDocument/2006/relationships/numbering" Target="numbering.xml"/><Relationship Id="rId16" Type="http://schemas.openxmlformats.org/officeDocument/2006/relationships/hyperlink" Target="https://doi.org/10.1016/j.resourpol.2017.01.016" TargetMode="External"/><Relationship Id="rId1" Type="http://schemas.openxmlformats.org/officeDocument/2006/relationships/customXml" Target="../customXml/item1.xml"/><Relationship Id="rId6" Type="http://schemas.openxmlformats.org/officeDocument/2006/relationships/hyperlink" Target="mailto:noorfauzi@unisba.ac.id" TargetMode="External"/><Relationship Id="rId11" Type="http://schemas.openxmlformats.org/officeDocument/2006/relationships/hyperlink" Target="https://doi.org/10.1016/j.lithos.2020.105756" TargetMode="External"/><Relationship Id="rId5" Type="http://schemas.openxmlformats.org/officeDocument/2006/relationships/webSettings" Target="webSettings.xml"/><Relationship Id="rId15" Type="http://schemas.openxmlformats.org/officeDocument/2006/relationships/hyperlink" Target="https://doi.org/10.1016/j.mineng.2020.106404" TargetMode="External"/><Relationship Id="rId10" Type="http://schemas.openxmlformats.org/officeDocument/2006/relationships/hyperlink" Target="https://doi.org/10.1016/j.patrec.2020.05.00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mineng.2007.08.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29789-2192-4A93-BDD0-EDD36D09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2020-09-07T03:32:00Z</dcterms:created>
  <dcterms:modified xsi:type="dcterms:W3CDTF">2020-09-08T02:44:00Z</dcterms:modified>
</cp:coreProperties>
</file>