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5D7" w:rsidRPr="005575D7" w:rsidRDefault="005575D7" w:rsidP="005575D7">
      <w:pPr>
        <w:pStyle w:val="ListParagraph"/>
        <w:spacing w:after="0" w:line="240" w:lineRule="auto"/>
        <w:ind w:left="0"/>
        <w:jc w:val="center"/>
        <w:rPr>
          <w:rFonts w:ascii="Georgia" w:hAnsi="Georgia" w:cs="Times New Roman"/>
          <w:b/>
          <w:bCs/>
          <w:sz w:val="24"/>
          <w:szCs w:val="24"/>
          <w:lang w:val="en-US"/>
        </w:rPr>
      </w:pPr>
      <w:r w:rsidRPr="005575D7">
        <w:rPr>
          <w:rFonts w:ascii="Georgia" w:hAnsi="Georgia" w:cs="Times New Roman"/>
          <w:b/>
          <w:bCs/>
          <w:i/>
          <w:iCs/>
          <w:sz w:val="24"/>
          <w:szCs w:val="24"/>
          <w:lang w:val="en-US"/>
        </w:rPr>
        <w:t>Scoping Review</w:t>
      </w:r>
      <w:r>
        <w:rPr>
          <w:rFonts w:ascii="Georgia" w:hAnsi="Georgia" w:cs="Times New Roman"/>
          <w:b/>
          <w:bCs/>
          <w:sz w:val="24"/>
          <w:szCs w:val="24"/>
          <w:lang w:val="en-US"/>
        </w:rPr>
        <w:t xml:space="preserve">: Status Periodontal pada </w:t>
      </w:r>
      <w:r w:rsidR="00A37C8B">
        <w:rPr>
          <w:rFonts w:ascii="Georgia" w:hAnsi="Georgia" w:cs="Times New Roman"/>
          <w:b/>
          <w:bCs/>
          <w:sz w:val="24"/>
          <w:szCs w:val="24"/>
          <w:lang w:val="en-US"/>
        </w:rPr>
        <w:t>Pasien</w:t>
      </w:r>
      <w:r>
        <w:rPr>
          <w:rFonts w:ascii="Georgia" w:hAnsi="Georgia" w:cs="Times New Roman"/>
          <w:b/>
          <w:bCs/>
          <w:sz w:val="24"/>
          <w:szCs w:val="24"/>
          <w:lang w:val="en-US"/>
        </w:rPr>
        <w:t xml:space="preserve"> yang </w:t>
      </w:r>
      <w:r w:rsidR="0024685D">
        <w:rPr>
          <w:rFonts w:ascii="Georgia" w:hAnsi="Georgia" w:cs="Times New Roman"/>
          <w:b/>
          <w:bCs/>
          <w:sz w:val="24"/>
          <w:szCs w:val="24"/>
          <w:lang w:val="en-US"/>
        </w:rPr>
        <w:t>Menderita</w:t>
      </w:r>
      <w:r>
        <w:rPr>
          <w:rFonts w:ascii="Georgia" w:hAnsi="Georgia" w:cs="Times New Roman"/>
          <w:b/>
          <w:bCs/>
          <w:sz w:val="24"/>
          <w:szCs w:val="24"/>
          <w:lang w:val="en-US"/>
        </w:rPr>
        <w:t xml:space="preserve"> Gangguan Makan</w:t>
      </w:r>
    </w:p>
    <w:p w:rsidR="005575D7" w:rsidRPr="00CB15FA" w:rsidRDefault="005575D7" w:rsidP="005575D7">
      <w:pPr>
        <w:pStyle w:val="ListParagraph"/>
        <w:spacing w:after="0" w:line="240" w:lineRule="auto"/>
        <w:ind w:left="0"/>
        <w:jc w:val="center"/>
        <w:rPr>
          <w:rFonts w:ascii="Georgia" w:hAnsi="Georgia" w:cs="Times New Roman"/>
          <w:b/>
          <w:bCs/>
          <w:sz w:val="24"/>
          <w:szCs w:val="24"/>
        </w:rPr>
      </w:pPr>
    </w:p>
    <w:p w:rsidR="00F06BAA" w:rsidRPr="00CB15FA" w:rsidRDefault="00F06BAA" w:rsidP="00F06BAA">
      <w:pPr>
        <w:pStyle w:val="ListParagraph"/>
        <w:spacing w:after="0" w:line="480" w:lineRule="auto"/>
        <w:ind w:left="0"/>
        <w:rPr>
          <w:rFonts w:ascii="Georgia" w:hAnsi="Georgia" w:cs="Times New Roman"/>
          <w:sz w:val="24"/>
          <w:szCs w:val="24"/>
        </w:rPr>
      </w:pPr>
    </w:p>
    <w:p w:rsidR="00856FBC" w:rsidRPr="00856FBC" w:rsidRDefault="00F06BAA" w:rsidP="00856FBC">
      <w:pPr>
        <w:spacing w:after="0" w:line="240" w:lineRule="auto"/>
        <w:rPr>
          <w:rFonts w:ascii="Georgia" w:hAnsi="Georgia" w:cs="Times New Roman"/>
          <w:b/>
          <w:sz w:val="24"/>
          <w:szCs w:val="24"/>
        </w:rPr>
      </w:pPr>
      <w:r w:rsidRPr="00856FBC">
        <w:rPr>
          <w:rFonts w:ascii="Georgia" w:hAnsi="Georgia" w:cs="Times New Roman"/>
          <w:b/>
          <w:sz w:val="24"/>
          <w:szCs w:val="24"/>
        </w:rPr>
        <w:t>Abstrak</w:t>
      </w:r>
    </w:p>
    <w:p w:rsidR="00F06BAA" w:rsidRPr="00856FBC" w:rsidRDefault="00F06BAA" w:rsidP="00856FBC">
      <w:pPr>
        <w:spacing w:after="0" w:line="240" w:lineRule="auto"/>
        <w:jc w:val="both"/>
        <w:rPr>
          <w:rFonts w:ascii="Georgia" w:hAnsi="Georgia" w:cs="Times New Roman"/>
          <w:b/>
          <w:sz w:val="24"/>
          <w:szCs w:val="24"/>
        </w:rPr>
      </w:pPr>
      <w:r w:rsidRPr="00856FBC">
        <w:rPr>
          <w:rFonts w:ascii="Georgia" w:hAnsi="Georgia"/>
          <w:sz w:val="24"/>
          <w:szCs w:val="24"/>
        </w:rPr>
        <w:t xml:space="preserve">Gangguan makan ditandai dengan </w:t>
      </w:r>
      <w:r w:rsidR="0032767D">
        <w:rPr>
          <w:rFonts w:ascii="Georgia" w:hAnsi="Georgia"/>
          <w:sz w:val="24"/>
          <w:szCs w:val="24"/>
          <w:lang w:val="en-US"/>
        </w:rPr>
        <w:t>perilaku</w:t>
      </w:r>
      <w:r w:rsidRPr="00856FBC">
        <w:rPr>
          <w:rFonts w:ascii="Georgia" w:hAnsi="Georgia"/>
          <w:sz w:val="24"/>
          <w:szCs w:val="24"/>
        </w:rPr>
        <w:t xml:space="preserve"> makan yang tidak </w:t>
      </w:r>
      <w:r w:rsidR="0032767D">
        <w:rPr>
          <w:rFonts w:ascii="Georgia" w:hAnsi="Georgia"/>
          <w:sz w:val="24"/>
          <w:szCs w:val="24"/>
          <w:lang w:val="en-US"/>
        </w:rPr>
        <w:t>normal</w:t>
      </w:r>
      <w:r w:rsidRPr="00856FBC">
        <w:rPr>
          <w:rFonts w:ascii="Georgia" w:hAnsi="Georgia"/>
          <w:sz w:val="24"/>
          <w:szCs w:val="24"/>
        </w:rPr>
        <w:t xml:space="preserve"> atau masalah dengan </w:t>
      </w:r>
      <w:r w:rsidR="0032767D">
        <w:rPr>
          <w:rFonts w:ascii="Georgia" w:hAnsi="Georgia"/>
          <w:sz w:val="24"/>
          <w:szCs w:val="24"/>
          <w:lang w:val="en-US"/>
        </w:rPr>
        <w:t>pengendalian</w:t>
      </w:r>
      <w:r w:rsidRPr="00856FBC">
        <w:rPr>
          <w:rFonts w:ascii="Georgia" w:hAnsi="Georgia"/>
          <w:sz w:val="24"/>
          <w:szCs w:val="24"/>
        </w:rPr>
        <w:t xml:space="preserve"> berat badan. </w:t>
      </w:r>
      <w:r w:rsidR="00A37C8B">
        <w:rPr>
          <w:rFonts w:ascii="Georgia" w:hAnsi="Georgia"/>
          <w:sz w:val="24"/>
          <w:szCs w:val="24"/>
          <w:lang w:val="en-US"/>
        </w:rPr>
        <w:t>Pasien</w:t>
      </w:r>
      <w:r w:rsidRPr="00856FBC">
        <w:rPr>
          <w:rFonts w:ascii="Georgia" w:hAnsi="Georgia"/>
          <w:sz w:val="24"/>
          <w:szCs w:val="24"/>
        </w:rPr>
        <w:t xml:space="preserve"> dengan gangguan makan cenderung memiliki kebersihan mulut buruk yang dapat menyebabkan akumulasi plak dan kalkulus, sehingga dapat menyebabkan penyakit periodontal. Hal ini dapat mempengaruhi status periodontal penderita gangguan makan. Tujuan penelitian ini untuk mengetahui gambaran literatur mengenai status periodontal pada </w:t>
      </w:r>
      <w:r w:rsidR="00A37C8B">
        <w:rPr>
          <w:rFonts w:ascii="Georgia" w:hAnsi="Georgia"/>
          <w:sz w:val="24"/>
          <w:szCs w:val="24"/>
          <w:lang w:val="en-US"/>
        </w:rPr>
        <w:t>pasien</w:t>
      </w:r>
      <w:r w:rsidRPr="00856FBC">
        <w:rPr>
          <w:rFonts w:ascii="Georgia" w:hAnsi="Georgia"/>
          <w:sz w:val="24"/>
          <w:szCs w:val="24"/>
        </w:rPr>
        <w:t xml:space="preserve"> dengan gangguan makan dengan menggunakan pendekatan scoping review. Jenis penelitian ini adalah deskriptif observasional dengan metode tinjauan literatur ilmiah melalui scoping review dengan metode penelusuran literatur PCC (</w:t>
      </w:r>
      <w:r w:rsidRPr="00856FBC">
        <w:rPr>
          <w:rFonts w:ascii="Georgia" w:hAnsi="Georgia"/>
          <w:i/>
          <w:iCs/>
          <w:sz w:val="24"/>
          <w:szCs w:val="24"/>
        </w:rPr>
        <w:t>population concept context</w:t>
      </w:r>
      <w:r w:rsidRPr="00856FBC">
        <w:rPr>
          <w:rFonts w:ascii="Georgia" w:hAnsi="Georgia"/>
          <w:sz w:val="24"/>
          <w:szCs w:val="24"/>
        </w:rPr>
        <w:t xml:space="preserve">), kriteria inklusi, dan eksklusi. Penelitian dilakukan dengan menggunakan diagram PRISMA pada database PubMed, Unbound MEDLINE, dan Wiley. </w:t>
      </w:r>
      <w:r w:rsidRPr="00856FBC">
        <w:rPr>
          <w:rFonts w:ascii="Georgia" w:hAnsi="Georgia" w:cs="Arial"/>
          <w:sz w:val="24"/>
          <w:szCs w:val="24"/>
        </w:rPr>
        <w:t xml:space="preserve">Hasil terdapat </w:t>
      </w:r>
      <w:r w:rsidRPr="00856FBC">
        <w:rPr>
          <w:rFonts w:ascii="Georgia" w:hAnsi="Georgia"/>
          <w:sz w:val="24"/>
          <w:szCs w:val="24"/>
        </w:rPr>
        <w:t xml:space="preserve">lima artikel sesuai dan digunakan dalam penelitian ini. Tiga artikel melaporkan skor status periodontal yang lebih tinggi, sedangkan satu studi menemukan skor status periodontal yang lebih rendah, dan satu studi tidak menemukan perbedaan yang signifikan. Kesimpulan bahwa </w:t>
      </w:r>
      <w:r w:rsidR="00A37C8B">
        <w:rPr>
          <w:rFonts w:ascii="Georgia" w:hAnsi="Georgia"/>
          <w:sz w:val="24"/>
          <w:szCs w:val="24"/>
          <w:lang w:val="en-US"/>
        </w:rPr>
        <w:t>pasien</w:t>
      </w:r>
      <w:r w:rsidRPr="00856FBC">
        <w:rPr>
          <w:rFonts w:ascii="Georgia" w:hAnsi="Georgia"/>
          <w:sz w:val="24"/>
          <w:szCs w:val="24"/>
        </w:rPr>
        <w:t xml:space="preserve"> gangguan makan cenderung memiliki status periodontal yang lebih buruk dibandingkan dengan individu yang sehat, dapat dipengaruhi oleh kebersihan mulut yang buruk dan kurang efisien dalam hal praktik kebersihan mulut.</w:t>
      </w:r>
      <w:r w:rsidRPr="00856FBC">
        <w:rPr>
          <w:rFonts w:ascii="ArialMT" w:hAnsi="ArialMT"/>
          <w:sz w:val="24"/>
          <w:szCs w:val="24"/>
        </w:rPr>
        <w:t xml:space="preserve"> </w:t>
      </w:r>
    </w:p>
    <w:p w:rsidR="00F06BAA" w:rsidRPr="00856FBC" w:rsidRDefault="00F06BAA" w:rsidP="00F06BAA">
      <w:pPr>
        <w:pStyle w:val="NoSpacing"/>
        <w:jc w:val="both"/>
        <w:rPr>
          <w:rFonts w:ascii="Georgia" w:hAnsi="Georgia"/>
          <w:sz w:val="24"/>
          <w:szCs w:val="24"/>
        </w:rPr>
      </w:pPr>
    </w:p>
    <w:p w:rsidR="00F06BAA" w:rsidRPr="00856FBC" w:rsidRDefault="00F06BAA" w:rsidP="00F06BAA">
      <w:pPr>
        <w:pStyle w:val="NoSpacing"/>
        <w:ind w:left="1560" w:hanging="1560"/>
        <w:jc w:val="both"/>
        <w:rPr>
          <w:rFonts w:ascii="Georgia" w:hAnsi="Georgia"/>
          <w:sz w:val="24"/>
          <w:szCs w:val="24"/>
          <w:lang w:val="en-US"/>
        </w:rPr>
      </w:pPr>
      <w:r w:rsidRPr="00856FBC">
        <w:rPr>
          <w:rFonts w:ascii="Georgia" w:hAnsi="Georgia"/>
          <w:b/>
          <w:sz w:val="24"/>
          <w:szCs w:val="24"/>
        </w:rPr>
        <w:t>Kata kunci:</w:t>
      </w:r>
      <w:r w:rsidRPr="00856FBC">
        <w:rPr>
          <w:rFonts w:ascii="Georgia" w:hAnsi="Georgia"/>
          <w:sz w:val="24"/>
          <w:szCs w:val="24"/>
        </w:rPr>
        <w:tab/>
      </w:r>
      <w:r w:rsidR="00856FBC" w:rsidRPr="00856FBC">
        <w:rPr>
          <w:rFonts w:ascii="Georgia" w:hAnsi="Georgia"/>
          <w:sz w:val="24"/>
          <w:szCs w:val="24"/>
          <w:lang w:val="en-US"/>
        </w:rPr>
        <w:t>Gangguan makan, penyakit periodontal, status periodontal</w:t>
      </w:r>
    </w:p>
    <w:p w:rsidR="00F06BAA" w:rsidRPr="00CB15FA" w:rsidRDefault="00F06BAA" w:rsidP="00F06BAA">
      <w:pPr>
        <w:pStyle w:val="ListParagraph"/>
        <w:spacing w:after="0" w:line="720" w:lineRule="auto"/>
        <w:ind w:left="0"/>
        <w:jc w:val="center"/>
        <w:rPr>
          <w:rFonts w:ascii="Georgia" w:hAnsi="Georgia" w:cs="Times New Roman"/>
          <w:sz w:val="24"/>
          <w:szCs w:val="24"/>
        </w:rPr>
      </w:pPr>
    </w:p>
    <w:p w:rsidR="00F06BAA" w:rsidRPr="00856FBC" w:rsidRDefault="00856FBC" w:rsidP="00F06BAA">
      <w:pPr>
        <w:spacing w:after="0" w:line="240" w:lineRule="auto"/>
        <w:jc w:val="center"/>
        <w:rPr>
          <w:rFonts w:ascii="Georgia" w:hAnsi="Georgia" w:cs="Times New Roman"/>
          <w:b/>
          <w:sz w:val="24"/>
          <w:szCs w:val="24"/>
          <w:lang w:val="en-US"/>
        </w:rPr>
      </w:pPr>
      <w:r>
        <w:rPr>
          <w:rFonts w:ascii="Georgia" w:hAnsi="Georgia" w:cs="Times New Roman"/>
          <w:b/>
          <w:sz w:val="24"/>
          <w:szCs w:val="24"/>
          <w:lang w:val="en-US"/>
        </w:rPr>
        <w:t xml:space="preserve">Periodontal Status in </w:t>
      </w:r>
      <w:r w:rsidR="00A77745">
        <w:rPr>
          <w:rFonts w:ascii="Georgia" w:hAnsi="Georgia" w:cs="Times New Roman"/>
          <w:b/>
          <w:sz w:val="24"/>
          <w:szCs w:val="24"/>
          <w:lang w:val="en-US"/>
        </w:rPr>
        <w:t>Patients</w:t>
      </w:r>
      <w:r>
        <w:rPr>
          <w:rFonts w:ascii="Georgia" w:hAnsi="Georgia" w:cs="Times New Roman"/>
          <w:b/>
          <w:sz w:val="24"/>
          <w:szCs w:val="24"/>
          <w:lang w:val="en-US"/>
        </w:rPr>
        <w:t xml:space="preserve"> </w:t>
      </w:r>
      <w:r w:rsidR="0024685D">
        <w:rPr>
          <w:rFonts w:ascii="Georgia" w:hAnsi="Georgia" w:cs="Times New Roman"/>
          <w:b/>
          <w:sz w:val="24"/>
          <w:szCs w:val="24"/>
          <w:lang w:val="en-US"/>
        </w:rPr>
        <w:t xml:space="preserve">with </w:t>
      </w:r>
      <w:r>
        <w:rPr>
          <w:rFonts w:ascii="Georgia" w:hAnsi="Georgia" w:cs="Times New Roman"/>
          <w:b/>
          <w:sz w:val="24"/>
          <w:szCs w:val="24"/>
          <w:lang w:val="en-US"/>
        </w:rPr>
        <w:t>Eating Disorders</w:t>
      </w:r>
    </w:p>
    <w:p w:rsidR="00F06BAA" w:rsidRDefault="00F06BAA" w:rsidP="00F06BAA">
      <w:pPr>
        <w:spacing w:after="0" w:line="240" w:lineRule="auto"/>
        <w:jc w:val="center"/>
        <w:rPr>
          <w:rFonts w:ascii="Georgia" w:hAnsi="Georgia" w:cs="Times New Roman"/>
          <w:b/>
          <w:sz w:val="24"/>
          <w:szCs w:val="24"/>
        </w:rPr>
      </w:pPr>
    </w:p>
    <w:p w:rsidR="00F06BAA" w:rsidRPr="00CB15FA" w:rsidRDefault="00F06BAA" w:rsidP="00F06BAA">
      <w:pPr>
        <w:spacing w:after="0" w:line="240" w:lineRule="auto"/>
        <w:rPr>
          <w:rFonts w:ascii="Georgia" w:hAnsi="Georgia" w:cs="Times New Roman"/>
          <w:b/>
          <w:sz w:val="24"/>
          <w:szCs w:val="24"/>
        </w:rPr>
      </w:pPr>
      <w:r w:rsidRPr="00CB15FA">
        <w:rPr>
          <w:rFonts w:ascii="Georgia" w:hAnsi="Georgia" w:cs="Times New Roman"/>
          <w:b/>
          <w:sz w:val="24"/>
          <w:szCs w:val="24"/>
        </w:rPr>
        <w:t>Abstra</w:t>
      </w:r>
      <w:r>
        <w:rPr>
          <w:rFonts w:ascii="Georgia" w:hAnsi="Georgia" w:cs="Times New Roman"/>
          <w:b/>
          <w:sz w:val="24"/>
          <w:szCs w:val="24"/>
        </w:rPr>
        <w:t>ct</w:t>
      </w:r>
    </w:p>
    <w:p w:rsidR="00F06BAA" w:rsidRPr="00CB15FA" w:rsidRDefault="00856FBC" w:rsidP="00F06BAA">
      <w:pPr>
        <w:pStyle w:val="NoSpacing"/>
        <w:jc w:val="both"/>
        <w:rPr>
          <w:rFonts w:ascii="Georgia" w:hAnsi="Georgia"/>
          <w:sz w:val="24"/>
          <w:szCs w:val="24"/>
        </w:rPr>
      </w:pPr>
      <w:r w:rsidRPr="00856FBC">
        <w:rPr>
          <w:rFonts w:ascii="Georgia" w:hAnsi="Georgia"/>
          <w:sz w:val="24"/>
          <w:szCs w:val="24"/>
        </w:rPr>
        <w:t xml:space="preserve">Eating disorders are characterized by irregular eating patterns or problems with weight management. Patients with eating disorders tend to have poor oral hygiene which can lead to the accumulation of plaque and calculus, thus leading to periodontal disease. This can affect the periodontal status of patients with eating disorders. The purpose of this study was to determine the literature overview regarding periodontal status in patients with eating disorders using a scoping review approach. This type of research is descriptive observational with scientific literature review method through scoping review with PCC (population concept context) literature search method, inclusion criteria, and exclusion. The research was conducted using the PRISMA diagram on the PubMed, Unbound MEDLINE, and Wiley databases. Results There were five articles suitable and used in this study. Three articles reported higher periodontal status scores, while one study </w:t>
      </w:r>
      <w:r w:rsidRPr="00856FBC">
        <w:rPr>
          <w:rFonts w:ascii="Georgia" w:hAnsi="Georgia"/>
          <w:sz w:val="24"/>
          <w:szCs w:val="24"/>
        </w:rPr>
        <w:lastRenderedPageBreak/>
        <w:t>found lower periodontal status scores, and one study found no significant difference.</w:t>
      </w:r>
      <w:r w:rsidR="00A37C8B" w:rsidRPr="00A37C8B">
        <w:t xml:space="preserve"> </w:t>
      </w:r>
      <w:r w:rsidR="00A37C8B" w:rsidRPr="00A37C8B">
        <w:rPr>
          <w:rFonts w:ascii="Georgia" w:hAnsi="Georgia"/>
          <w:sz w:val="24"/>
          <w:szCs w:val="24"/>
        </w:rPr>
        <w:t>The conclusion that eating disorder patients tend to have poorer periodontal status compared to healthy individuals could be influenced by poor oral hygiene and less efficient oral hygiene practices.</w:t>
      </w:r>
    </w:p>
    <w:p w:rsidR="00F06BAA" w:rsidRPr="00CB15FA" w:rsidRDefault="00F06BAA" w:rsidP="00F06BAA">
      <w:pPr>
        <w:pStyle w:val="NoSpacing"/>
        <w:jc w:val="both"/>
        <w:rPr>
          <w:rFonts w:ascii="Georgia" w:hAnsi="Georgia"/>
          <w:sz w:val="24"/>
          <w:szCs w:val="24"/>
        </w:rPr>
      </w:pPr>
    </w:p>
    <w:p w:rsidR="00F06BAA" w:rsidRPr="00856FBC" w:rsidRDefault="00F06BAA" w:rsidP="00F06BAA">
      <w:pPr>
        <w:pStyle w:val="NoSpacing"/>
        <w:ind w:left="1560" w:hanging="1560"/>
        <w:jc w:val="both"/>
        <w:rPr>
          <w:rFonts w:ascii="Georgia" w:hAnsi="Georgia"/>
          <w:sz w:val="24"/>
          <w:szCs w:val="24"/>
          <w:lang w:val="en-US"/>
        </w:rPr>
      </w:pPr>
      <w:r>
        <w:rPr>
          <w:rFonts w:ascii="Georgia" w:hAnsi="Georgia"/>
          <w:b/>
          <w:sz w:val="24"/>
          <w:szCs w:val="24"/>
        </w:rPr>
        <w:t>Key words</w:t>
      </w:r>
      <w:r w:rsidRPr="00CB15FA">
        <w:rPr>
          <w:rFonts w:ascii="Georgia" w:hAnsi="Georgia"/>
          <w:b/>
          <w:sz w:val="24"/>
          <w:szCs w:val="24"/>
        </w:rPr>
        <w:t>:</w:t>
      </w:r>
      <w:r>
        <w:rPr>
          <w:rFonts w:ascii="Georgia" w:hAnsi="Georgia"/>
          <w:sz w:val="24"/>
          <w:szCs w:val="24"/>
        </w:rPr>
        <w:tab/>
      </w:r>
      <w:r w:rsidR="00856FBC">
        <w:rPr>
          <w:rFonts w:ascii="Georgia" w:hAnsi="Georgia"/>
          <w:sz w:val="24"/>
          <w:szCs w:val="24"/>
          <w:lang w:val="en-US"/>
        </w:rPr>
        <w:t>Eating disorders, periodontal diseases, periodontal status</w:t>
      </w:r>
    </w:p>
    <w:p w:rsidR="00F06BAA" w:rsidRPr="00D67A70" w:rsidRDefault="00F06BAA" w:rsidP="00F06BAA">
      <w:pPr>
        <w:spacing w:after="0" w:line="240" w:lineRule="auto"/>
        <w:jc w:val="center"/>
        <w:rPr>
          <w:rFonts w:ascii="Georgia" w:eastAsia="Times New Roman" w:hAnsi="Georgia" w:cs="Times New Roman"/>
          <w:b/>
          <w:sz w:val="24"/>
          <w:szCs w:val="24"/>
          <w:lang w:eastAsia="ja-JP"/>
        </w:rPr>
      </w:pPr>
    </w:p>
    <w:p w:rsidR="00F06BAA" w:rsidRPr="00D67A70" w:rsidRDefault="00F06BAA" w:rsidP="00F06BAA">
      <w:pPr>
        <w:spacing w:after="0" w:line="240" w:lineRule="auto"/>
        <w:jc w:val="center"/>
        <w:rPr>
          <w:rFonts w:ascii="Georgia" w:eastAsia="Times New Roman" w:hAnsi="Georgia" w:cs="Times New Roman"/>
          <w:b/>
          <w:sz w:val="24"/>
          <w:szCs w:val="24"/>
          <w:lang w:eastAsia="ja-JP"/>
        </w:rPr>
      </w:pPr>
    </w:p>
    <w:p w:rsidR="00F06BAA" w:rsidRPr="00D67A70" w:rsidRDefault="00F06BAA" w:rsidP="00F06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Times New Roman"/>
          <w:b/>
          <w:sz w:val="24"/>
          <w:szCs w:val="24"/>
          <w:lang w:eastAsia="ja-JP"/>
        </w:rPr>
      </w:pPr>
    </w:p>
    <w:p w:rsidR="005548F1" w:rsidRDefault="005548F1"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Arial"/>
          <w:b/>
          <w:bCs/>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856FBC" w:rsidRDefault="00856FBC" w:rsidP="00856FBC">
      <w:pPr>
        <w:spacing w:before="100" w:beforeAutospacing="1" w:after="100" w:afterAutospacing="1" w:line="240" w:lineRule="auto"/>
        <w:rPr>
          <w:rFonts w:ascii="Georgia" w:eastAsia="Times New Roman" w:hAnsi="Georgia" w:cs="Times New Roman"/>
          <w:sz w:val="24"/>
          <w:szCs w:val="24"/>
          <w:lang w:val="en-ID" w:eastAsia="en-US"/>
        </w:rPr>
      </w:pPr>
    </w:p>
    <w:p w:rsidR="00BB5DE5" w:rsidRDefault="00BB5DE5" w:rsidP="00856F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p>
    <w:p w:rsidR="00015C34" w:rsidRDefault="00015C34" w:rsidP="00856F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p>
    <w:p w:rsidR="00856FBC" w:rsidRPr="00CB15FA" w:rsidRDefault="00856FBC" w:rsidP="00856F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r w:rsidRPr="00CB15FA">
        <w:rPr>
          <w:rFonts w:ascii="Georgia" w:hAnsi="Georgia" w:cs="Times New Roman"/>
          <w:b/>
          <w:sz w:val="24"/>
          <w:szCs w:val="24"/>
          <w:lang w:val="id-ID"/>
        </w:rPr>
        <w:lastRenderedPageBreak/>
        <w:t>Pendahuluan</w:t>
      </w:r>
    </w:p>
    <w:p w:rsidR="001D3FC2" w:rsidRPr="001D3FC2" w:rsidRDefault="001D3FC2" w:rsidP="001D3FC2">
      <w:pPr>
        <w:spacing w:after="0" w:line="480" w:lineRule="auto"/>
        <w:jc w:val="both"/>
        <w:rPr>
          <w:rFonts w:ascii="Georgia" w:eastAsia="Times New Roman" w:hAnsi="Georgia" w:cs="Times New Roman"/>
          <w:position w:val="6"/>
          <w:sz w:val="24"/>
          <w:szCs w:val="24"/>
          <w:lang w:val="en-ID" w:eastAsia="en-US"/>
        </w:rPr>
      </w:pPr>
      <w:r w:rsidRPr="001D3FC2">
        <w:rPr>
          <w:rFonts w:ascii="Georgia" w:eastAsia="Times New Roman" w:hAnsi="Georgia" w:cs="Times New Roman"/>
          <w:sz w:val="24"/>
          <w:szCs w:val="24"/>
          <w:lang w:val="en-ID" w:eastAsia="en-US"/>
        </w:rPr>
        <w:t>Gangguan makan adalah gangguan kejiwaan berat yang diidentifikasi dengan perilaku makan atau pengendalian berat badan yang tidak normal.</w:t>
      </w:r>
      <w:r w:rsidR="00E307F0">
        <w:rPr>
          <w:rFonts w:ascii="Georgia" w:eastAsia="Times New Roman" w:hAnsi="Georgia" w:cs="Times New Roman"/>
          <w:sz w:val="24"/>
          <w:szCs w:val="24"/>
          <w:lang w:val="en-ID" w:eastAsia="en-US"/>
        </w:rPr>
        <w:fldChar w:fldCharType="begin" w:fldLock="1"/>
      </w:r>
      <w:r w:rsidR="00E307F0">
        <w:rPr>
          <w:rFonts w:ascii="Georgia" w:eastAsia="Times New Roman" w:hAnsi="Georgia" w:cs="Times New Roman"/>
          <w:sz w:val="24"/>
          <w:szCs w:val="24"/>
          <w:lang w:val="en-ID" w:eastAsia="en-US"/>
        </w:rPr>
        <w:instrText>ADDIN CSL_CITATION {"citationItems":[{"id":"ITEM-1","itemData":{"DOI":"10.1016/S0140-6736(20)30059-3","ISSN":"1474547X","PMID":"32171414","abstract":"Eating disorders are disabling, deadly, and costly mental disorders that considerably impair physical health and disrupt psychosocial functioning. Disturbed attitudes towards weight, body shape, and eating play a key role in the origin and maintenance of eating disorders. Eating disorders have been increasing over the past 50 years and changes in the food environment have been implicated. All health-care providers should routinely enquire about eating habits as a component of overall health assessment. Six main feeding and eating disorders are now recognised in diagnostic systems: anorexia nervosa, bulimia nervosa, binge eating disorder, avoidant-restrictive food intake disorder, pica, and rumination disorder. The presentation form of eating disorders might vary for men versus women, for example. As eating disorders are under-researched, there is a great deal of uncertainty as to their pathophysiology, treatment, and management. Future challenges, emerging treatments, and outstanding research questions are addressed.","author":[{"dropping-particle":"","family":"Treasure","given":"Janet","non-dropping-particle":"","parse-names":false,"suffix":""},{"dropping-particle":"","family":"Duarte","given":"Tiago Antunes","non-dropping-particle":"","parse-names":false,"suffix":""},{"dropping-particle":"","family":"Schmidt","given":"Ulrike","non-dropping-particle":"","parse-names":false,"suffix":""}],"container-title":"The Lancet","id":"ITEM-1","issue":"10227","issued":{"date-parts":[["2020"]]},"page":"899-911","publisher":"Elsevier Ltd","title":"Eating disorders","type":"article-journal","volume":"395"},"uris":["http://www.mendeley.com/documents/?uuid=b2d50cc8-51bc-4164-93bb-502cf95e9303"]}],"mendeley":{"formattedCitation":"&lt;sup&gt;1&lt;/sup&gt;","plainTextFormattedCitation":"1","previouslyFormattedCitation":"&lt;sup&gt;1&lt;/sup&gt;"},"properties":{"noteIndex":0},"schema":"https://github.com/citation-style-language/schema/raw/master/csl-citation.json"}</w:instrText>
      </w:r>
      <w:r w:rsidR="00E307F0">
        <w:rPr>
          <w:rFonts w:ascii="Georgia" w:eastAsia="Times New Roman" w:hAnsi="Georgia" w:cs="Times New Roman"/>
          <w:sz w:val="24"/>
          <w:szCs w:val="24"/>
          <w:lang w:val="en-ID" w:eastAsia="en-US"/>
        </w:rPr>
        <w:fldChar w:fldCharType="separate"/>
      </w:r>
      <w:r w:rsidR="00E307F0" w:rsidRPr="00E307F0">
        <w:rPr>
          <w:rFonts w:ascii="Georgia" w:eastAsia="Times New Roman" w:hAnsi="Georgia" w:cs="Times New Roman"/>
          <w:noProof/>
          <w:sz w:val="24"/>
          <w:szCs w:val="24"/>
          <w:vertAlign w:val="superscript"/>
          <w:lang w:val="en-ID" w:eastAsia="en-US"/>
        </w:rPr>
        <w:t>1</w:t>
      </w:r>
      <w:r w:rsidR="00E307F0">
        <w:rPr>
          <w:rFonts w:ascii="Georgia" w:eastAsia="Times New Roman" w:hAnsi="Georgia" w:cs="Times New Roman"/>
          <w:sz w:val="24"/>
          <w:szCs w:val="24"/>
          <w:lang w:val="en-ID" w:eastAsia="en-US"/>
        </w:rPr>
        <w:fldChar w:fldCharType="end"/>
      </w:r>
      <w:r w:rsidRPr="001D3FC2">
        <w:rPr>
          <w:rFonts w:ascii="Georgia" w:eastAsia="Times New Roman" w:hAnsi="Georgia" w:cs="Times New Roman"/>
          <w:position w:val="6"/>
          <w:sz w:val="24"/>
          <w:szCs w:val="24"/>
          <w:lang w:val="en-ID" w:eastAsia="en-US"/>
        </w:rPr>
        <w:t xml:space="preserve"> </w:t>
      </w:r>
      <w:r w:rsidRPr="001D3FC2">
        <w:rPr>
          <w:rFonts w:ascii="Georgia" w:eastAsia="Times New Roman" w:hAnsi="Georgia" w:cs="Times New Roman"/>
          <w:sz w:val="24"/>
          <w:szCs w:val="24"/>
          <w:lang w:val="en-ID" w:eastAsia="en-US"/>
        </w:rPr>
        <w:t>Perilaku yang terkait dengan gangguan makan termasuk pembatasan diet, makan berlebihan dengan perasaan kehilangan kendali, dan perilaku kompensasi (muntah, olahraga berlebihan, dan penyalahgunaan obat pencahar).</w:t>
      </w:r>
      <w:r w:rsidR="00E307F0">
        <w:rPr>
          <w:rFonts w:ascii="Georgia" w:eastAsia="Times New Roman" w:hAnsi="Georgia" w:cs="Times New Roman"/>
          <w:sz w:val="24"/>
          <w:szCs w:val="24"/>
          <w:lang w:val="en-ID" w:eastAsia="en-US"/>
        </w:rPr>
        <w:fldChar w:fldCharType="begin" w:fldLock="1"/>
      </w:r>
      <w:r w:rsidR="00E307F0">
        <w:rPr>
          <w:rFonts w:ascii="Georgia" w:eastAsia="Times New Roman" w:hAnsi="Georgia" w:cs="Times New Roman"/>
          <w:sz w:val="24"/>
          <w:szCs w:val="24"/>
          <w:lang w:val="en-ID" w:eastAsia="en-US"/>
        </w:rPr>
        <w:instrText>ADDIN CSL_CITATION {"citationItems":[{"id":"ITEM-1","itemData":{"abstract":"The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duties.","author":[{"dropping-particle":"","family":"National Institute for Health and Care Excellence","given":"","non-dropping-particle":"","parse-names":false,"suffix":""}],"container-title":"NICE Guidlines","id":"ITEM-1","issued":{"date-parts":[["2017"]]},"page":"1 - 42","title":"Eating disorders : recognition and treatment","type":"article-journal"},"uris":["http://www.mendeley.com/documents/?uuid=fc00a186-f124-4a50-bf5c-edb9a5e61282"]}],"mendeley":{"formattedCitation":"&lt;sup&gt;2&lt;/sup&gt;","plainTextFormattedCitation":"2","previouslyFormattedCitation":"&lt;sup&gt;2&lt;/sup&gt;"},"properties":{"noteIndex":0},"schema":"https://github.com/citation-style-language/schema/raw/master/csl-citation.json"}</w:instrText>
      </w:r>
      <w:r w:rsidR="00E307F0">
        <w:rPr>
          <w:rFonts w:ascii="Georgia" w:eastAsia="Times New Roman" w:hAnsi="Georgia" w:cs="Times New Roman"/>
          <w:sz w:val="24"/>
          <w:szCs w:val="24"/>
          <w:lang w:val="en-ID" w:eastAsia="en-US"/>
        </w:rPr>
        <w:fldChar w:fldCharType="separate"/>
      </w:r>
      <w:r w:rsidR="00E307F0" w:rsidRPr="00E307F0">
        <w:rPr>
          <w:rFonts w:ascii="Georgia" w:eastAsia="Times New Roman" w:hAnsi="Georgia" w:cs="Times New Roman"/>
          <w:noProof/>
          <w:sz w:val="24"/>
          <w:szCs w:val="24"/>
          <w:vertAlign w:val="superscript"/>
          <w:lang w:val="en-ID" w:eastAsia="en-US"/>
        </w:rPr>
        <w:t>2</w:t>
      </w:r>
      <w:r w:rsidR="00E307F0">
        <w:rPr>
          <w:rFonts w:ascii="Georgia" w:eastAsia="Times New Roman" w:hAnsi="Georgia" w:cs="Times New Roman"/>
          <w:sz w:val="24"/>
          <w:szCs w:val="24"/>
          <w:lang w:val="en-ID" w:eastAsia="en-US"/>
        </w:rPr>
        <w:fldChar w:fldCharType="end"/>
      </w:r>
      <w:r w:rsidRPr="001D3FC2">
        <w:rPr>
          <w:rFonts w:ascii="Georgia" w:eastAsia="Times New Roman" w:hAnsi="Georgia" w:cs="Times New Roman"/>
          <w:position w:val="6"/>
          <w:sz w:val="24"/>
          <w:szCs w:val="24"/>
          <w:lang w:val="en-ID" w:eastAsia="en-US"/>
        </w:rPr>
        <w:t xml:space="preserve"> </w:t>
      </w:r>
      <w:r w:rsidRPr="001D3FC2">
        <w:rPr>
          <w:rFonts w:ascii="Georgia" w:eastAsia="Times New Roman" w:hAnsi="Georgia" w:cs="Times New Roman"/>
          <w:sz w:val="24"/>
          <w:szCs w:val="24"/>
          <w:lang w:val="en-ID" w:eastAsia="en-US"/>
        </w:rPr>
        <w:t xml:space="preserve">Gangguan makan spesifik yang didefinisikan dalam </w:t>
      </w:r>
      <w:r w:rsidRPr="001D3FC2">
        <w:rPr>
          <w:rFonts w:ascii="Georgia" w:eastAsia="Times New Roman" w:hAnsi="Georgia" w:cs="Times New Roman"/>
          <w:i/>
          <w:iCs/>
          <w:sz w:val="24"/>
          <w:szCs w:val="24"/>
          <w:lang w:val="en-ID" w:eastAsia="en-US"/>
        </w:rPr>
        <w:t>Diagnostic and Statistical Manual of Mental Disorders Fifth Edition</w:t>
      </w:r>
      <w:r w:rsidRPr="001D3FC2">
        <w:rPr>
          <w:rFonts w:ascii="Georgia" w:eastAsia="Times New Roman" w:hAnsi="Georgia" w:cs="Times New Roman"/>
          <w:sz w:val="24"/>
          <w:szCs w:val="24"/>
          <w:lang w:val="en-ID" w:eastAsia="en-US"/>
        </w:rPr>
        <w:t xml:space="preserve"> (DSM-V) adalah anoreksia nervosa (AN), bulimia nervosa (BN), dan </w:t>
      </w:r>
      <w:r>
        <w:rPr>
          <w:rFonts w:ascii="Georgia" w:eastAsia="Times New Roman" w:hAnsi="Georgia" w:cs="Times New Roman"/>
          <w:sz w:val="24"/>
          <w:szCs w:val="24"/>
          <w:lang w:val="en-ID" w:eastAsia="en-US"/>
        </w:rPr>
        <w:t>binge eating disorder</w:t>
      </w:r>
      <w:r w:rsidRPr="001D3FC2">
        <w:rPr>
          <w:rFonts w:ascii="Georgia" w:eastAsia="Times New Roman" w:hAnsi="Georgia" w:cs="Times New Roman"/>
          <w:sz w:val="24"/>
          <w:szCs w:val="24"/>
          <w:lang w:val="en-ID" w:eastAsia="en-US"/>
        </w:rPr>
        <w:t xml:space="preserve"> (BED). </w:t>
      </w:r>
      <w:r>
        <w:rPr>
          <w:rFonts w:ascii="Georgia" w:eastAsia="Times New Roman" w:hAnsi="Georgia" w:cs="Times New Roman"/>
          <w:sz w:val="24"/>
          <w:szCs w:val="24"/>
          <w:lang w:val="en-ID" w:eastAsia="en-US"/>
        </w:rPr>
        <w:t>Hal ini</w:t>
      </w:r>
      <w:r w:rsidRPr="001D3FC2">
        <w:rPr>
          <w:rFonts w:ascii="Georgia" w:eastAsia="Times New Roman" w:hAnsi="Georgia" w:cs="Times New Roman"/>
          <w:sz w:val="24"/>
          <w:szCs w:val="24"/>
          <w:lang w:val="en-ID" w:eastAsia="en-US"/>
        </w:rPr>
        <w:t xml:space="preserve"> </w:t>
      </w:r>
      <w:r>
        <w:rPr>
          <w:rFonts w:ascii="Georgia" w:eastAsia="Times New Roman" w:hAnsi="Georgia" w:cs="Times New Roman"/>
          <w:sz w:val="24"/>
          <w:szCs w:val="24"/>
          <w:lang w:val="en-ID" w:eastAsia="en-US"/>
        </w:rPr>
        <w:t>merupakan</w:t>
      </w:r>
      <w:r w:rsidRPr="001D3FC2">
        <w:rPr>
          <w:rFonts w:ascii="Georgia" w:eastAsia="Times New Roman" w:hAnsi="Georgia" w:cs="Times New Roman"/>
          <w:sz w:val="24"/>
          <w:szCs w:val="24"/>
          <w:lang w:val="en-ID" w:eastAsia="en-US"/>
        </w:rPr>
        <w:t xml:space="preserve"> gangguan makan yang paling umum</w:t>
      </w:r>
      <w:r>
        <w:rPr>
          <w:rFonts w:ascii="Georgia" w:eastAsia="Times New Roman" w:hAnsi="Georgia" w:cs="Times New Roman"/>
          <w:sz w:val="24"/>
          <w:szCs w:val="24"/>
          <w:lang w:val="en-ID" w:eastAsia="en-US"/>
        </w:rPr>
        <w:t xml:space="preserve"> terjadi</w:t>
      </w:r>
      <w:r w:rsidRPr="001D3FC2">
        <w:rPr>
          <w:rFonts w:ascii="Georgia" w:eastAsia="Times New Roman" w:hAnsi="Georgia" w:cs="Times New Roman"/>
          <w:sz w:val="24"/>
          <w:szCs w:val="24"/>
          <w:lang w:val="en-ID" w:eastAsia="en-US"/>
        </w:rPr>
        <w:t>.</w:t>
      </w:r>
      <w:r w:rsidR="00E307F0">
        <w:rPr>
          <w:rFonts w:ascii="Georgia" w:eastAsia="Times New Roman" w:hAnsi="Georgia" w:cs="Times New Roman"/>
          <w:sz w:val="24"/>
          <w:szCs w:val="24"/>
          <w:lang w:val="en-ID" w:eastAsia="en-US"/>
        </w:rPr>
        <w:fldChar w:fldCharType="begin" w:fldLock="1"/>
      </w:r>
      <w:r w:rsidR="00E307F0">
        <w:rPr>
          <w:rFonts w:ascii="Georgia" w:eastAsia="Times New Roman" w:hAnsi="Georgia" w:cs="Times New Roman"/>
          <w:sz w:val="24"/>
          <w:szCs w:val="24"/>
          <w:lang w:val="en-ID" w:eastAsia="en-US"/>
        </w:rPr>
        <w:instrText>ADDIN CSL_CITATION {"citationItems":[{"id":"ITEM-1","itemData":{"DOI":"10.1016/j.psychres.2014.05.054","ISSN":"18727123","PMID":"25103674","abstract":"This study sought to examine risk and onset patterns in anorexia nervosa (AN), bulimia nervosa (BN), and binge eating disorder (BED). Women with AN (n=71), BN (n=66), BED (n=160) and non-psychiatric controls (n=323) were compared retrospectively on risk factors, symptom onset, and diagnostic migration. Eating disorder groups reported greater risk exposure than non-psychiatric controls. AN and BED differed on premorbid personality/behavioral problems, childhood obesity, and family overeating. Risk factors for BN were shared with AN and BED. Dieting was the most common onset symptom in AN, whereas binge eating was most common in BN and BED. Migration between AN and BED was rare, but more frequent between AN and BN and between BN and BED. AN and BED have distinct risk factors and onset patterns, while BN shares similar risk factors and onset patterns with both AN and BED. Results should inform future classification schemes and prevention programs.","author":[{"dropping-particle":"","family":"Hilbert","given":"Anja","non-dropping-particle":"","parse-names":false,"suffix":""},{"dropping-particle":"","family":"Pike","given":"Kathleen M.","non-dropping-particle":"","parse-names":false,"suffix":""},{"dropping-particle":"","family":"Goldschmidt","given":"Andrea B.","non-dropping-particle":"","parse-names":false,"suffix":""},{"dropping-particle":"","family":"Wilfley","given":"Denise E.","non-dropping-particle":"","parse-names":false,"suffix":""},{"dropping-particle":"","family":"Fairburn","given":"Christopher G.","non-dropping-particle":"","parse-names":false,"suffix":""},{"dropping-particle":"","family":"Dohm","given":"Faith Anne","non-dropping-particle":"","parse-names":false,"suffix":""},{"dropping-particle":"","family":"Walsh","given":"B. Timothy","non-dropping-particle":"","parse-names":false,"suffix":""},{"dropping-particle":"","family":"Striegel Weissman","given":"Ruth","non-dropping-particle":"","parse-names":false,"suffix":""}],"container-title":"Psychiatry Research","id":"ITEM-1","issue":"1-2","issued":{"date-parts":[["2014"]]},"page":"500-506","publisher":"Elsevier","title":"Risk factors across the eating disorders","type":"article-journal","volume":"220"},"uris":["http://www.mendeley.com/documents/?uuid=4a97321b-5818-46e0-ba65-f5e0b90217c0"]},{"id":"ITEM-2","itemData":{"DOI":"10.1111/prd.12391","ISSN":"16000757","PMID":"34463986","abstract":"People with eating disorders suffer from a mental disorder that negatively affects their physical and/or mental health. The three most frequent eating disorders are binge eating disorder, bulimia nervosa, and anorexia nervosa. Environmental and genetic factors are involved in the pathogenesis of eating disorders in vulnerable persons. Although treatment varies among different types of eating disorders, nutrition, medical care combined with psychotherapy and medications are standard of care. The aim of this review is to give an overview of the oral health impact of eating disorders with a special emphasis on the periodontium. Oral health professionals have a unique role to play in the early diagnosis of eating disorders because of the important impact that eating disorders have on the oral cavity. In vomiting-associated eating disorders, the risk of erosive tooth wear is mainly localized to the palatal surfaces of the incisors. Emerging evidence also indicates a high frequency of gingivitis and gingival recessions associated with compulsive toothbrushing. A holistic approach, including oral health and functional rehabilitation, should be promoted by physicians, psychiatrists, and dentists for people with eating disorders.","author":[{"dropping-particle":"","family":"Rangé","given":"Hélène","non-dropping-particle":"","parse-names":false,"suffix":""},{"dropping-particle":"","family":"Colon","given":"Pierre","non-dropping-particle":"","parse-names":false,"suffix":""},{"dropping-particle":"","family":"Godart","given":"Nathalie","non-dropping-particle":"","parse-names":false,"suffix":""},{"dropping-particle":"","family":"Kapila","given":"Yvonne","non-dropping-particle":"","parse-names":false,"suffix":""},{"dropping-particle":"","family":"Bouchard","given":"Philippe","non-dropping-particle":"","parse-names":false,"suffix":""}],"container-title":"Periodontology 2000","id":"ITEM-2","issue":"1","issued":{"date-parts":[["2021"]]},"page":"17-31","title":"Eating disorders through the periodontal lens","type":"article-journal","volume":"87"},"uris":["http://www.mendeley.com/documents/?uuid=e6e9fb56-aa7f-47e4-9387-b0e4c6ef3d71"]},{"id":"ITEM-3","itemData":{"DOI":"10.1016/j.cppeds.2017.02.004","ISSN":"15383199","PMID":"28532966","author":[{"dropping-particle":"","family":"American Psychiatric Association","given":"","non-dropping-particle":"","parse-names":false,"suffix":""}],"container-title":"Arlington","id":"ITEM-3","issued":{"date-parts":[["2013"]]},"number-of-pages":"338, 345, 350","publisher":"American Psychiatric Publishing","title":"Diagnostic and Statistical Manual of Mentak Disorders (5th ed.)","type":"book"},"uris":["http://www.mendeley.com/documents/?uuid=88f224e9-d7f6-4eda-bd95-06dfec933a02"]}],"mendeley":{"formattedCitation":"&lt;sup&gt;3–5&lt;/sup&gt;","plainTextFormattedCitation":"3–5","previouslyFormattedCitation":"&lt;sup&gt;3–5&lt;/sup&gt;"},"properties":{"noteIndex":0},"schema":"https://github.com/citation-style-language/schema/raw/master/csl-citation.json"}</w:instrText>
      </w:r>
      <w:r w:rsidR="00E307F0">
        <w:rPr>
          <w:rFonts w:ascii="Georgia" w:eastAsia="Times New Roman" w:hAnsi="Georgia" w:cs="Times New Roman"/>
          <w:sz w:val="24"/>
          <w:szCs w:val="24"/>
          <w:lang w:val="en-ID" w:eastAsia="en-US"/>
        </w:rPr>
        <w:fldChar w:fldCharType="separate"/>
      </w:r>
      <w:r w:rsidR="00E307F0" w:rsidRPr="00E307F0">
        <w:rPr>
          <w:rFonts w:ascii="Georgia" w:eastAsia="Times New Roman" w:hAnsi="Georgia" w:cs="Times New Roman"/>
          <w:noProof/>
          <w:sz w:val="24"/>
          <w:szCs w:val="24"/>
          <w:vertAlign w:val="superscript"/>
          <w:lang w:val="en-ID" w:eastAsia="en-US"/>
        </w:rPr>
        <w:t>3–5</w:t>
      </w:r>
      <w:r w:rsidR="00E307F0">
        <w:rPr>
          <w:rFonts w:ascii="Georgia" w:eastAsia="Times New Roman" w:hAnsi="Georgia" w:cs="Times New Roman"/>
          <w:sz w:val="24"/>
          <w:szCs w:val="24"/>
          <w:lang w:val="en-ID" w:eastAsia="en-US"/>
        </w:rPr>
        <w:fldChar w:fldCharType="end"/>
      </w:r>
      <w:r w:rsidRPr="001D3FC2">
        <w:rPr>
          <w:rFonts w:ascii="Georgia" w:eastAsia="Times New Roman" w:hAnsi="Georgia" w:cs="Times New Roman"/>
          <w:position w:val="6"/>
          <w:sz w:val="24"/>
          <w:szCs w:val="24"/>
          <w:lang w:val="en-ID" w:eastAsia="en-US"/>
        </w:rPr>
        <w:t xml:space="preserve"> </w:t>
      </w:r>
      <w:r w:rsidR="00856FBC">
        <w:rPr>
          <w:rFonts w:ascii="Georgia" w:hAnsi="Georgia"/>
        </w:rPr>
        <w:t xml:space="preserve"> </w:t>
      </w:r>
    </w:p>
    <w:p w:rsidR="00AE384A" w:rsidRDefault="001D3FC2" w:rsidP="00AE384A">
      <w:pPr>
        <w:pStyle w:val="Default"/>
        <w:spacing w:line="480" w:lineRule="auto"/>
        <w:ind w:firstLine="340"/>
        <w:jc w:val="both"/>
        <w:rPr>
          <w:rFonts w:ascii="Georgia" w:eastAsia="Times New Roman" w:hAnsi="Georgia"/>
          <w:position w:val="6"/>
          <w:lang w:val="en-ID"/>
        </w:rPr>
      </w:pPr>
      <w:r w:rsidRPr="001D3FC2">
        <w:rPr>
          <w:rFonts w:ascii="Georgia" w:eastAsia="Times New Roman" w:hAnsi="Georgia"/>
          <w:lang w:val="en-ID"/>
        </w:rPr>
        <w:t xml:space="preserve">Gangguan khas </w:t>
      </w:r>
      <w:r>
        <w:rPr>
          <w:rFonts w:ascii="Georgia" w:eastAsia="Times New Roman" w:hAnsi="Georgia"/>
          <w:lang w:val="en-ID"/>
        </w:rPr>
        <w:t xml:space="preserve">dari </w:t>
      </w:r>
      <w:r w:rsidRPr="001D3FC2">
        <w:rPr>
          <w:rFonts w:ascii="Georgia" w:eastAsia="Times New Roman" w:hAnsi="Georgia"/>
          <w:lang w:val="en-ID"/>
        </w:rPr>
        <w:t xml:space="preserve">anoreksia nervosa ditandai dengan rasa takut akan bertambahnya berat badan dan sikap yang terganggu terhadap citra tubuh. Hal ini menyebabkan pembatasan diet yang parah atau perilaku penurunan berat badan lainnya seperti </w:t>
      </w:r>
      <w:r>
        <w:rPr>
          <w:rFonts w:ascii="Georgia" w:eastAsia="Times New Roman" w:hAnsi="Georgia"/>
          <w:lang w:val="en-ID"/>
        </w:rPr>
        <w:t xml:space="preserve">muntah </w:t>
      </w:r>
      <w:r w:rsidR="00AE384A">
        <w:rPr>
          <w:rFonts w:ascii="Georgia" w:eastAsia="Times New Roman" w:hAnsi="Georgia"/>
          <w:lang w:val="en-ID"/>
        </w:rPr>
        <w:t>secara</w:t>
      </w:r>
      <w:r>
        <w:rPr>
          <w:rFonts w:ascii="Georgia" w:eastAsia="Times New Roman" w:hAnsi="Georgia"/>
          <w:lang w:val="en-ID"/>
        </w:rPr>
        <w:t xml:space="preserve"> paksa </w:t>
      </w:r>
      <w:r w:rsidRPr="001D3FC2">
        <w:rPr>
          <w:rFonts w:ascii="Georgia" w:eastAsia="Times New Roman" w:hAnsi="Georgia"/>
          <w:lang w:val="en-ID"/>
        </w:rPr>
        <w:t>atau melakukan aktivitas fisik yang berlebihan.</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{"citationItems":[{"id":"ITEM-1","itemData":{"DOI":"10.1016/S2215-0366(15)00356-9","ISSN":"22150374","PMID":"26514083","abstract":"Anorexia nervosa is an important cause of physical and psychosocial morbidity. Recent years have brought advances in understanding of the underlying psychobiology that contributes to illness onset and maintenance. Genetic factors influence risk, psychosocial and interpersonal factors can trigger onset, and changes in neural networks can sustain the illness. Substantial advances in treatment, particularly for adolescent patients with anorexia nervosa, point to the benefits of specialised family-based interventions. Adults with anorexia nervosa too have a realistic chance of achieving recovery or at least substantial improvement, but no specific approach has shown clear superiority, suggesting a combination of re-nourishment and anorexia nervosa-specific psychotherapy is most effective. To successfully fight this enigmatic illness, we have to enhance understanding of the underlying biological and psychosocial mechanisms, improve strategies for prevention and early intervention, and better target our treatments through improved understanding of specific disease mechanisms.","author":[{"dropping-particle":"","family":"Zipfel","given":"Stephan","non-dropping-particle":"","parse-names":false,"suffix":""},{"dropping-particle":"","family":"Giel","given":"Katrin E.","non-dropping-particle":"","parse-names":false,"suffix":""},{"dropping-particle":"","family":"Bulik","given":"Cynthia M.","non-dropping-particle":"","parse-names":false,"suffix":""},{"dropping-particle":"","family":"Hay","given":"Phillipa","non-dropping-particle":"","parse-names":false,"suffix":""},{"dropping-particle":"","family":"Schmidt","given":"Ulrike","non-dropping-particle":"","parse-names":false,"suffix":""}],"container-title":"The Lancet Psychiatry","id":"ITEM-1","issue":"12","issued":{"date-parts":[["2015"]]},"page":"1099-1111","publisher":"Elsevier Ltd","title":"Anorexia nervosa: Aetiology, assessment, and treatment","type":"article-journal","volume":"2"},"uris":["http://www.mendeley.com/documents/?uuid=8eb2ce55-9c9d-43a2-9670-e142dce494dc"]}],"mendeley":{"formattedCitation":"&lt;sup&gt;6&lt;/sup&gt;","plainTextFormattedCitation":"6","previouslyFormattedCitation":"&lt;sup&gt;6&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6</w:t>
      </w:r>
      <w:r w:rsidR="00E307F0">
        <w:rPr>
          <w:rFonts w:ascii="Georgia" w:eastAsia="Times New Roman" w:hAnsi="Georgia"/>
          <w:lang w:val="en-ID"/>
        </w:rPr>
        <w:fldChar w:fldCharType="end"/>
      </w:r>
      <w:r w:rsidRPr="001D3FC2">
        <w:rPr>
          <w:rFonts w:ascii="Georgia" w:eastAsia="Times New Roman" w:hAnsi="Georgia"/>
          <w:position w:val="6"/>
          <w:lang w:val="en-ID"/>
        </w:rPr>
        <w:t xml:space="preserve"> </w:t>
      </w:r>
      <w:r w:rsidRPr="001D3FC2">
        <w:rPr>
          <w:rFonts w:ascii="Georgia" w:eastAsia="Times New Roman" w:hAnsi="Georgia"/>
          <w:lang w:val="en-ID"/>
        </w:rPr>
        <w:t xml:space="preserve">Makan berlebihan yang sering diikuti dengan muntah </w:t>
      </w:r>
      <w:r w:rsidR="00AE384A">
        <w:rPr>
          <w:rFonts w:ascii="Georgia" w:eastAsia="Times New Roman" w:hAnsi="Georgia"/>
          <w:lang w:val="en-ID"/>
        </w:rPr>
        <w:t>secara</w:t>
      </w:r>
      <w:r w:rsidRPr="001D3FC2">
        <w:rPr>
          <w:rFonts w:ascii="Georgia" w:eastAsia="Times New Roman" w:hAnsi="Georgia"/>
          <w:lang w:val="en-ID"/>
        </w:rPr>
        <w:t xml:space="preserve"> </w:t>
      </w:r>
      <w:r w:rsidR="00AE384A">
        <w:rPr>
          <w:rFonts w:ascii="Georgia" w:eastAsia="Times New Roman" w:hAnsi="Georgia"/>
          <w:lang w:val="en-ID"/>
        </w:rPr>
        <w:t>paksa</w:t>
      </w:r>
      <w:r w:rsidRPr="001D3FC2">
        <w:rPr>
          <w:rFonts w:ascii="Georgia" w:eastAsia="Times New Roman" w:hAnsi="Georgia"/>
          <w:lang w:val="en-ID"/>
        </w:rPr>
        <w:t>, olahraga berlebihan, atau penggunaan obat pencahar, adalah ciri khas bulimia nervosa.</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{"citationItems":[{"id":"ITEM-1","itemData":{"DOI":"10.3949/CCJM.88A.20168","ISSN":"08911150","abstract":"Bulimia nervosa, a mental illness 4 times more common than anorexia nervosa, is characterized by binge-eating followed by compensatory purging behaviors, which include self-induced vomiting, diuretic abuse, laxative abuse, and misuse of insulin. Patients with bulimia nervosa are at risk of developing medical complications that affect all body systems, especially the renal and electrolyte systems. Behavior cessation can reverse some, but not all, medical complications.","author":[{"dropping-particle":"","family":"Nitsch","given":"Allison","non-dropping-particle":"","parse-names":false,"suffix":""},{"dropping-particle":"","family":"Dlugosz","given":"Heather","non-dropping-particle":"","parse-names":false,"suffix":""},{"dropping-particle":"","family":"Gibson","given":"Dennis","non-dropping-particle":"","parse-names":false,"suffix":""},{"dropping-particle":"","family":"Mehler","given":"Philip S.","non-dropping-particle":"","parse-names":false,"suffix":""}],"container-title":"Cleveland Clinic Journal of Medicine","id":"ITEM-1","issue":"6","issued":{"date-parts":[["2021"]]},"page":"333-343","title":"Medical complications of bulimia nervosa","type":"article-journal","volume":"88"},"uris":["http://www.mendeley.com/documents/?uuid=8981ef8d-5c69-4cdd-b7a7-e3a43bfbab84"]}],"mendeley":{"formattedCitation":"&lt;sup&gt;7&lt;/sup&gt;","plainTextFormattedCitation":"7","previouslyFormattedCitation":"&lt;sup&gt;7&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7</w:t>
      </w:r>
      <w:r w:rsidR="00E307F0">
        <w:rPr>
          <w:rFonts w:ascii="Georgia" w:eastAsia="Times New Roman" w:hAnsi="Georgia"/>
          <w:lang w:val="en-ID"/>
        </w:rPr>
        <w:fldChar w:fldCharType="end"/>
      </w:r>
      <w:r w:rsidRPr="001D3FC2">
        <w:rPr>
          <w:rFonts w:ascii="Georgia" w:eastAsia="Times New Roman" w:hAnsi="Georgia"/>
          <w:position w:val="6"/>
          <w:lang w:val="en-ID"/>
        </w:rPr>
        <w:t xml:space="preserve"> </w:t>
      </w:r>
      <w:r w:rsidR="00AE384A">
        <w:rPr>
          <w:rFonts w:ascii="Georgia" w:eastAsia="Times New Roman" w:hAnsi="Georgia"/>
          <w:lang w:val="en-ID"/>
        </w:rPr>
        <w:t>Binge eating disorder</w:t>
      </w:r>
      <w:r w:rsidRPr="001D3FC2">
        <w:rPr>
          <w:rFonts w:ascii="Georgia" w:eastAsia="Times New Roman" w:hAnsi="Georgia"/>
          <w:lang w:val="en-ID"/>
        </w:rPr>
        <w:t xml:space="preserve"> didefinisikan sebagai makan berlebihan dalam jumlah yang lebih besar dari biasanya, ditambah dengan hilangnya kendali.</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{"citationItems":[{"id":"ITEM-1","itemData":{"DOI":"10.1016/j.mcna.2019.02.003","ISSN":"15579859","PMID":"31078199","abstract":"Binge eating disorder (BED)is the most common eating disorder and an important public health problem. Lifetime prevalence of BED in the United States is 2.6%. In contrast to other eating disorders, the female to male ratio in BED is more balanced. BED co-occurs with a plethora of psychiatric disorders, most commonly mood and anxiety disorders. BED is also associated with obesity and its numerous complications. Although BED is similar in men and women in presentation and treatment outcomes, there are some key neurobiological differences that should be taken in consideration when personalizing treatment.","author":[{"dropping-particle":"","family":"Guerdjikova","given":"Anna I.","non-dropping-particle":"","parse-names":false,"suffix":""},{"dropping-particle":"","family":"Mori","given":"Nicole","non-dropping-particle":"","parse-names":false,"suffix":""},{"dropping-particle":"","family":"Casuto","given":"Leah S.","non-dropping-particle":"","parse-names":false,"suffix":""},{"dropping-particle":"","family":"McElroy","given":"Susan L.","non-dropping-particle":"","parse-names":false,"suffix":""}],"container-title":"Medical Clinics of North America","id":"ITEM-1","issue":"4","issued":{"date-parts":[["2019"]]},"page":"669-680","title":"Update on Binge Eating Disorder","type":"article-journal","volume":"103"},"uris":["http://www.mendeley.com/documents/?uuid=596e5524-3878-4ccb-b57c-75a78eed2a9b"]}],"mendeley":{"formattedCitation":"&lt;sup&gt;8&lt;/sup&gt;","plainTextFormattedCitation":"8","previouslyFormattedCitation":"&lt;sup&gt;8&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8</w:t>
      </w:r>
      <w:r w:rsidR="00E307F0">
        <w:rPr>
          <w:rFonts w:ascii="Georgia" w:eastAsia="Times New Roman" w:hAnsi="Georgia"/>
          <w:lang w:val="en-ID"/>
        </w:rPr>
        <w:fldChar w:fldCharType="end"/>
      </w:r>
      <w:r w:rsidRPr="001D3FC2">
        <w:rPr>
          <w:rFonts w:ascii="Georgia" w:eastAsia="Times New Roman" w:hAnsi="Georgia"/>
          <w:position w:val="6"/>
          <w:lang w:val="en-ID"/>
        </w:rPr>
        <w:t xml:space="preserve"> </w:t>
      </w:r>
    </w:p>
    <w:p w:rsidR="008402DE" w:rsidRDefault="008402DE" w:rsidP="008402DE">
      <w:pPr>
        <w:pStyle w:val="Default"/>
        <w:spacing w:line="480" w:lineRule="auto"/>
        <w:ind w:firstLine="340"/>
        <w:jc w:val="both"/>
        <w:rPr>
          <w:rFonts w:ascii="Georgia" w:eastAsia="Times New Roman" w:hAnsi="Georgia"/>
          <w:position w:val="6"/>
          <w:lang w:val="en-ID"/>
        </w:rPr>
      </w:pPr>
      <w:r>
        <w:rPr>
          <w:rFonts w:ascii="Georgia" w:eastAsia="Times New Roman" w:hAnsi="Georgia"/>
          <w:lang w:val="en-ID"/>
        </w:rPr>
        <w:t>Belum diketahui</w:t>
      </w:r>
      <w:r w:rsidR="00AE384A" w:rsidRPr="00AE384A">
        <w:rPr>
          <w:rFonts w:ascii="Georgia" w:eastAsia="Times New Roman" w:hAnsi="Georgia"/>
          <w:lang w:val="en-ID"/>
        </w:rPr>
        <w:t xml:space="preserve"> </w:t>
      </w:r>
      <w:r>
        <w:rPr>
          <w:rFonts w:ascii="Georgia" w:eastAsia="Times New Roman" w:hAnsi="Georgia"/>
          <w:lang w:val="en-ID"/>
        </w:rPr>
        <w:t xml:space="preserve">secara </w:t>
      </w:r>
      <w:r w:rsidR="00AE384A" w:rsidRPr="00AE384A">
        <w:rPr>
          <w:rFonts w:ascii="Georgia" w:eastAsia="Times New Roman" w:hAnsi="Georgia"/>
          <w:lang w:val="en-ID"/>
        </w:rPr>
        <w:t>pasti mengenai penyebab</w:t>
      </w:r>
      <w:r>
        <w:rPr>
          <w:rFonts w:ascii="Georgia" w:eastAsia="Times New Roman" w:hAnsi="Georgia"/>
          <w:lang w:val="en-ID"/>
        </w:rPr>
        <w:t xml:space="preserve"> gangguan </w:t>
      </w:r>
      <w:r w:rsidR="00AE384A" w:rsidRPr="00AE384A">
        <w:rPr>
          <w:rFonts w:ascii="Georgia" w:eastAsia="Times New Roman" w:hAnsi="Georgia"/>
          <w:lang w:val="en-ID"/>
        </w:rPr>
        <w:t>makan. Namun, diyakini bahwa sifat biologis dan genetik, faktor lingkungan dan sosial, serta karakteristik psikologis berinteraksi</w:t>
      </w:r>
      <w:r>
        <w:rPr>
          <w:rFonts w:ascii="Georgia" w:eastAsia="Times New Roman" w:hAnsi="Georgia"/>
          <w:lang w:val="en-ID"/>
        </w:rPr>
        <w:t xml:space="preserve"> dalam terjadinya gangguan makan</w:t>
      </w:r>
      <w:r w:rsidR="00AE384A" w:rsidRPr="00AE384A">
        <w:rPr>
          <w:rFonts w:ascii="Georgia" w:eastAsia="Times New Roman" w:hAnsi="Georgia"/>
          <w:lang w:val="en-ID"/>
        </w:rPr>
        <w:t>.</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{"citationItems":[{"id":"ITEM-1","itemData":{"DOI":"10.1542/peds.2014-0194","ISSN":"10984275","PMID":"25157017","abstract":"Despite their high prevalence, associated morbidity and mortality, and available treatment options, eating disorders (EDs) continue to be underdiagnosed by pediatric professionals. Many adolescents go untreated, do not recover, or reach only partial recovery. Higher rates of EDs are seen now in younger children, boys, and minority groups; EDs are increasingly recognized in patients with previous histories of obesity. Medical complications are common in both full and subthreshold EDs and affect every organ system. No single cause of EDs has emerged, although neurobiological and genetic predispositions are emerging as important. Recent treatment paradigms acknowledge that they are not caused by families or chosen by patients. EDs present differently in pediatric populations, and providers should have a high index of suspicion using new Diagnostic and Statistical Manual, 5th edition diagnostic criteria because early intervention can affect prognosis. Outpatient family-based treatment focused on weight restoration, reducing blame, and empowering caregivers has emerged as particularly effective; cognitive behavioral therapy, individual therapy, and higher levels of care may also be appropriate. Pharmacotherapy is useful in specific contexts. Full weight restoration is critical, often involves high-calorie diets, and must allow for continued growth and development; weight maintenance is typically inappropriate in pediatric populations. Physical, nutritional, behavioral, and psychological health are all metrics of a full recovery, and pediatric EDs have a good prognosis with appropriate care. ED prevention efforts should work toward aligning with families and understanding the impact of antiobesity efforts. Primary care providers can be key players in treatment success.","author":[{"dropping-particle":"","family":"Campbell","given":"Kenisha","non-dropping-particle":"","parse-names":false,"suffix":""},{"dropping-particle":"","family":"Peebles","given":"Rebecka","non-dropping-particle":"","parse-names":false,"suffix":""}],"container-title":"Pediatrics","id":"ITEM-1","issue":"3","issued":{"date-parts":[["2014"]]},"page":"582-592","title":"Eating disorders in children and adolescents: State of the art review","type":"article-journal","volume":"134"},"uris":["http://www.mendeley.com/documents/?uuid=d96a2e50-f340-4cf0-9e3a-939fc437befc"]}],"mendeley":{"formattedCitation":"&lt;sup&gt;9&lt;/sup&gt;","plainTextFormattedCitation":"9","previouslyFormattedCitation":"&lt;sup&gt;9&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9</w:t>
      </w:r>
      <w:r w:rsidR="00E307F0">
        <w:rPr>
          <w:rFonts w:ascii="Georgia" w:eastAsia="Times New Roman" w:hAnsi="Georgia"/>
          <w:lang w:val="en-ID"/>
        </w:rPr>
        <w:fldChar w:fldCharType="end"/>
      </w:r>
      <w:r w:rsidR="00AE384A" w:rsidRPr="00AE384A">
        <w:rPr>
          <w:rFonts w:ascii="Georgia" w:eastAsia="Times New Roman" w:hAnsi="Georgia"/>
          <w:position w:val="6"/>
          <w:lang w:val="en-ID"/>
        </w:rPr>
        <w:t xml:space="preserve"> </w:t>
      </w:r>
      <w:r w:rsidR="00AE384A" w:rsidRPr="00AE384A">
        <w:rPr>
          <w:rFonts w:ascii="Georgia" w:eastAsia="Times New Roman" w:hAnsi="Georgia"/>
          <w:lang w:val="en-ID"/>
        </w:rPr>
        <w:t xml:space="preserve">Studi epidemiologi menunjukkan bahwa remaja atau dewasa muda merupakan faktor risiko pertama yang </w:t>
      </w:r>
      <w:r>
        <w:rPr>
          <w:rFonts w:ascii="Georgia" w:eastAsia="Times New Roman" w:hAnsi="Georgia"/>
          <w:lang w:val="en-ID"/>
        </w:rPr>
        <w:t>berperan</w:t>
      </w:r>
      <w:r w:rsidR="00AE384A" w:rsidRPr="00AE384A">
        <w:rPr>
          <w:rFonts w:ascii="Georgia" w:eastAsia="Times New Roman" w:hAnsi="Georgia"/>
          <w:lang w:val="en-ID"/>
        </w:rPr>
        <w:t xml:space="preserve"> untuk </w:t>
      </w:r>
      <w:r w:rsidR="00AE384A" w:rsidRPr="00AE384A">
        <w:rPr>
          <w:rFonts w:ascii="Georgia" w:eastAsia="Times New Roman" w:hAnsi="Georgia"/>
          <w:lang w:val="en-ID"/>
        </w:rPr>
        <w:lastRenderedPageBreak/>
        <w:t>mengembangkan gangguan makan.</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{"citationItems":[{"id":"ITEM-1","itemData":{"DOI":"10.1002/eat.22094","ISSN":"02763478","PMID":"23658086","abstract":"Objective: One goal in identifying psychosocial risk factors is to discover opportunities for intervention. The purpose of this review is to examine psychosocial risk factors for disordered eating, placing research findings in the larger context of how etiological models for eating disorders can be transformed into models for intervention. Method: A qualitative literature review was conducted focusing on psychological and social factors that increase the risk for developing eating disorders, with an emphasis on well-replicated findings from prospective longitudinal studies. Results: Epidemiological, cross-cultural, and longitudinal studies underscore the importance of the idealization of thinness and resulting weight concerns as psychosocial risk factors for eating disorders. Personality factors such as negative emotionality and perfectionism contribute to the development of eating disorders but may do so indirectly by increasing susceptibility to internalize the thin ideal or by influencing selection of peer environment. During adolescence, peers represent self-selected environments that influence risk. Discussion: Peer context may represent a key opportunity for intervention, as peer groups represent the nexus in which individual differences in psychological risk factors shape the social environment and social environment shapes psychological risk factors. Thus, peer-based interventions that challenge internalization of the thin ideal can protect against the development of eating pathology. Copyright © 2013 Wiley Periodicals, Inc.","author":[{"dropping-particle":"","family":"Keel","given":"Pamela K.","non-dropping-particle":"","parse-names":false,"suffix":""},{"dropping-particle":"","family":"Forney","given":"K. Jean","non-dropping-particle":"","parse-names":false,"suffix":""}],"container-title":"International Journal of Eating Disorders","id":"ITEM-1","issue":"5","issued":{"date-parts":[["2013"]]},"page":"433-439","title":"Psychosocial risk factors for eating disorders","type":"article-journal","volume":"46"},"uris":["http://www.mendeley.com/documents/?uuid=78b0fa26-4aa3-46ee-b7fb-3940be1424e7"]}],"mendeley":{"formattedCitation":"&lt;sup&gt;10&lt;/sup&gt;","plainTextFormattedCitation":"10","previouslyFormattedCitation":"&lt;sup&gt;10&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10</w:t>
      </w:r>
      <w:r w:rsidR="00E307F0">
        <w:rPr>
          <w:rFonts w:ascii="Georgia" w:eastAsia="Times New Roman" w:hAnsi="Georgia"/>
          <w:lang w:val="en-ID"/>
        </w:rPr>
        <w:fldChar w:fldCharType="end"/>
      </w:r>
      <w:r w:rsidR="00AE384A" w:rsidRPr="00AE384A">
        <w:rPr>
          <w:rFonts w:ascii="Georgia" w:eastAsia="Times New Roman" w:hAnsi="Georgia"/>
          <w:position w:val="6"/>
          <w:lang w:val="en-ID"/>
        </w:rPr>
        <w:t xml:space="preserve"> </w:t>
      </w:r>
      <w:r w:rsidR="00AE384A" w:rsidRPr="00AE384A">
        <w:rPr>
          <w:rFonts w:ascii="Georgia" w:eastAsia="Times New Roman" w:hAnsi="Georgia"/>
          <w:lang w:val="en-ID"/>
        </w:rPr>
        <w:t>Penelitian menunjukkan bahwa ada peningkatan prevalensi gangguan makan di seluruh dunia.</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{"citationItems":[{"id":"ITEM-1","itemData":{"DOI":"10.1093/ajcn/nqy342","ISSN":"19383207","PMID":"31051507","abstract":"Background: Eating disorders (EDs) lead to multiple psychiatric and somatic complications and thus constitute a major public health concern. Objectives: The aim of this study was to give an exhaustive view of the studies reporting the prevalence of the different EDs or total EDs and to study their evolution. Methods: A literature search following PRISMA Guidelines and limited to studies in English or French published between 2000 and 2018 was performed and relevant studies were included in this systematic review on the prevalence of EDs. The literature search revealed 94 studies with accurate ED diagnosis and 27 with broad ED diagnosis. Results: In 94 studies with accurate ED diagnosis, the weighted means (ranges) of lifetime ED were 8.4% (3.3-18.6%) for women and 2.2% (0.8-6.5%) for men. The weighted means (ranges) of 12-month ED prevalence were 2.2% (0.8-13.1%) for women and 0.7% (0.3-0.9%) for men. The weighted means (ranges) of point prevalence were 5.7% (0.9-13.5%) for women and 2.2% (0.2-7.3%) for men. According to continents, the weighted means (ranges) of point prevalence were 4.6% (2.0-13.5%) in America, 2.2% (0.2-13.1%) in Europe, and 3.5% (0.6-7.8%) in Asia. In addition to the former, 27 other studies reported the prevalence of EDs as broad categories resulting in weighted means (ranges) of total point prevalence of any EDs of 19.4% (6.5-36.0%) for women and 13.8% (3.6-27.1%) for men. Conclusions: Despite the complexity of integrating all ED prevalence data, the most recent studies confirm that EDs are highly prevalent worldwide, especially in women. Moreover, the weighted means of point ED prevalence increased over the study period from 3.5% for the 2000-2006 period to 7.8% for the 2013-2018 period. This highlights a real challenge for public health and healthcare providers.","author":[{"dropping-particle":"","family":"Galmiche","given":"Marie","non-dropping-particle":"","parse-names":false,"suffix":""},{"dropping-particle":"","family":"Déchelotte","given":"Pierre","non-dropping-particle":"","parse-names":false,"suffix":""},{"dropping-particle":"","family":"Lambert","given":"Grégory","non-dropping-particle":"","parse-names":false,"suffix":""},{"dropping-particle":"","family":"Tavolacci","given":"Marie Pierre","non-dropping-particle":"","parse-names":false,"suffix":""}],"container-title":"American Journal of Clinical Nutrition","id":"ITEM-1","issue":"5","issued":{"date-parts":[["2019"]]},"page":"1402-1413","publisher":"Oxford University Press","title":"Prevalence of eating disorders over the 2000-2018 period: A systematic literature review","type":"article-journal","volume":"109"},"uris":["http://www.mendeley.com/documents/?uuid=6a42675d-8e2d-467f-8c43-77f58cee889a"]}],"mendeley":{"formattedCitation":"&lt;sup&gt;11&lt;/sup&gt;","plainTextFormattedCitation":"11","previouslyFormattedCitation":"&lt;sup&gt;11&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11</w:t>
      </w:r>
      <w:r w:rsidR="00E307F0">
        <w:rPr>
          <w:rFonts w:ascii="Georgia" w:eastAsia="Times New Roman" w:hAnsi="Georgia"/>
          <w:lang w:val="en-ID"/>
        </w:rPr>
        <w:fldChar w:fldCharType="end"/>
      </w:r>
      <w:r w:rsidR="00AE384A" w:rsidRPr="00AE384A">
        <w:rPr>
          <w:rFonts w:ascii="Georgia" w:eastAsia="Times New Roman" w:hAnsi="Georgia"/>
          <w:position w:val="6"/>
          <w:lang w:val="en-ID"/>
        </w:rPr>
        <w:t xml:space="preserve"> </w:t>
      </w:r>
      <w:r>
        <w:rPr>
          <w:rFonts w:ascii="Georgia" w:eastAsia="Times New Roman" w:hAnsi="Georgia"/>
          <w:lang w:val="en-ID"/>
        </w:rPr>
        <w:t>K</w:t>
      </w:r>
      <w:r w:rsidR="00AE384A" w:rsidRPr="00AE384A">
        <w:rPr>
          <w:rFonts w:ascii="Georgia" w:eastAsia="Times New Roman" w:hAnsi="Georgia"/>
          <w:lang w:val="en-ID"/>
        </w:rPr>
        <w:t xml:space="preserve">urangnya penelitian tentang gangguan makan di Indonesia, </w:t>
      </w:r>
      <w:r>
        <w:rPr>
          <w:rFonts w:ascii="Georgia" w:eastAsia="Times New Roman" w:hAnsi="Georgia"/>
          <w:lang w:val="en-ID"/>
        </w:rPr>
        <w:t>sehingga</w:t>
      </w:r>
      <w:r w:rsidR="00AE384A" w:rsidRPr="00AE384A">
        <w:rPr>
          <w:rFonts w:ascii="Georgia" w:eastAsia="Times New Roman" w:hAnsi="Georgia"/>
          <w:lang w:val="en-ID"/>
        </w:rPr>
        <w:t xml:space="preserve"> tidak </w:t>
      </w:r>
      <w:r>
        <w:rPr>
          <w:rFonts w:ascii="Georgia" w:eastAsia="Times New Roman" w:hAnsi="Georgia"/>
          <w:lang w:val="en-ID"/>
        </w:rPr>
        <w:t>me</w:t>
      </w:r>
      <w:r w:rsidR="00AE384A" w:rsidRPr="00AE384A">
        <w:rPr>
          <w:rFonts w:ascii="Georgia" w:eastAsia="Times New Roman" w:hAnsi="Georgia"/>
          <w:lang w:val="en-ID"/>
        </w:rPr>
        <w:t>mungkin</w:t>
      </w:r>
      <w:r>
        <w:rPr>
          <w:rFonts w:ascii="Georgia" w:eastAsia="Times New Roman" w:hAnsi="Georgia"/>
          <w:lang w:val="en-ID"/>
        </w:rPr>
        <w:t>kan</w:t>
      </w:r>
      <w:r w:rsidR="00AE384A" w:rsidRPr="00AE384A">
        <w:rPr>
          <w:rFonts w:ascii="Georgia" w:eastAsia="Times New Roman" w:hAnsi="Georgia"/>
          <w:lang w:val="en-ID"/>
        </w:rPr>
        <w:t xml:space="preserve"> untuk menentukan prevalensi</w:t>
      </w:r>
      <w:r>
        <w:rPr>
          <w:rFonts w:ascii="Georgia" w:eastAsia="Times New Roman" w:hAnsi="Georgia"/>
          <w:lang w:val="en-ID"/>
        </w:rPr>
        <w:t xml:space="preserve"> gangguan makan </w:t>
      </w:r>
      <w:r w:rsidR="00AE384A" w:rsidRPr="00AE384A">
        <w:rPr>
          <w:rFonts w:ascii="Georgia" w:eastAsia="Times New Roman" w:hAnsi="Georgia"/>
          <w:lang w:val="en-ID"/>
        </w:rPr>
        <w:t>di Indonesia.</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{"citationItems":[{"id":"ITEM-1","itemData":{"author":[{"dropping-particle":"","family":"Hasna A","given":"","non-dropping-particle":"","parse-names":false,"suffix":""}],"container-title":"J Medika Hutama","id":"ITEM-1","issue":"04","issued":{"date-parts":[["2021"]]},"page":"1218-9","title":"Diagnosis dan Tatalaksana Bulimia Nervosa","type":"article-journal","volume":"02"},"uris":["http://www.mendeley.com/documents/?uuid=3efa3ccf-75ef-4457-bb1e-4a94442df503"]},{"id":"ITEM-2","itemData":{"DOI":"10.21776/ub.jik.2020.008.01.1","ISSN":"20886012","author":[{"dropping-particle":"","family":"Virgandiri S, Lestari DR","given":"Zwagery RV","non-dropping-particle":"","parse-names":false,"suffix":""}],"container-title":"Jurnal Ilmu Keperawatan (Journal of Nursing Science)","id":"ITEM-2","issue":"1","issued":{"date-parts":[["2020"]]},"page":"53-9","title":"Relationship of body image with eating disorder in female adolescent","type":"article-journal","volume":"8"},"uris":["http://www.mendeley.com/documents/?uuid=f2922c34-5f29-4d23-8049-3c8a8cecd1b3"]}],"mendeley":{"formattedCitation":"&lt;sup&gt;12,13&lt;/sup&gt;","plainTextFormattedCitation":"12,13","previouslyFormattedCitation":"&lt;sup&gt;12,13&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12,13</w:t>
      </w:r>
      <w:r w:rsidR="00E307F0">
        <w:rPr>
          <w:rFonts w:ascii="Georgia" w:eastAsia="Times New Roman" w:hAnsi="Georgia"/>
          <w:lang w:val="en-ID"/>
        </w:rPr>
        <w:fldChar w:fldCharType="end"/>
      </w:r>
    </w:p>
    <w:p w:rsidR="008402DE" w:rsidRDefault="008402DE" w:rsidP="008402DE">
      <w:pPr>
        <w:pStyle w:val="Default"/>
        <w:spacing w:line="480" w:lineRule="auto"/>
        <w:ind w:firstLine="340"/>
        <w:jc w:val="both"/>
        <w:rPr>
          <w:rFonts w:ascii="Georgia" w:eastAsia="Times New Roman" w:hAnsi="Georgia"/>
          <w:lang w:val="en-ID"/>
        </w:rPr>
      </w:pPr>
      <w:r w:rsidRPr="008402DE">
        <w:rPr>
          <w:rFonts w:ascii="Georgia" w:eastAsia="Times New Roman" w:hAnsi="Georgia"/>
          <w:lang w:val="en-ID"/>
        </w:rPr>
        <w:t xml:space="preserve">Salah satu </w:t>
      </w:r>
      <w:r>
        <w:rPr>
          <w:rFonts w:ascii="Georgia" w:eastAsia="Times New Roman" w:hAnsi="Georgia"/>
          <w:lang w:val="en-ID"/>
        </w:rPr>
        <w:t>manifestasi</w:t>
      </w:r>
      <w:r w:rsidRPr="008402DE">
        <w:rPr>
          <w:rFonts w:ascii="Georgia" w:eastAsia="Times New Roman" w:hAnsi="Georgia"/>
          <w:lang w:val="en-ID"/>
        </w:rPr>
        <w:t xml:space="preserve"> pertama yang menunjukkan gejala klinis dari penyakit sistemik dan defisit nutrisi adalah rongga mulut.</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{"citationItems":[{"id":"ITEM-1","itemData":{"DOI":"10.1177/0884533613507284","ISSN":"19412452","PMID":"24163321","abstract":"Conducting nutrition-focused physical examinations and reporting the findings from the perspective of nutrition status strengthen the practitioner's assessments, interventions, and monitoring. The nutrition-focused physical examination of the oral cavity is particularly useful to identify nutrient deficiencies early and with accuracy as the tissues in the oral mucosa have a turnover rate of &lt;1 week. As biomarkers may not always be reliable for identifying micronutrient deficiencies, these physical examinations are important for providing comprehensive nutrition care. The purpose of this article is to discuss the methods of conducting a nutrition-focused oral screening examination and compile and document the evidence regarding the effects of micronutrient deficiencies on the oral mucosa. The information is formatted into a table that can be used as a tool when conducting an oral screening by identifying possible deficiencies based on the observations and other relevant findings. The tool will also guide the practitioner in confirming the physical findings, suggesting interventions to treat the deficiency and how to monitor the outcomes. © 2013 American Society for Parenteral and Enteral Nutrition.","author":[{"dropping-particle":"","family":"Radler","given":"Diane Rigassio","non-dropping-particle":"","parse-names":false,"suffix":""},{"dropping-particle":"","family":"Lister","given":"Tracy","non-dropping-particle":"","parse-names":false,"suffix":""}],"container-title":"Nutrition in Clinical Practice","id":"ITEM-1","issue":"6","issued":{"date-parts":[["2013"]]},"page":"710-721","title":"Nutrient deficiencies associated with nutrition-focused physical findings of the oral cavity","type":"article-journal","volume":"28"},"uris":["http://www.mendeley.com/documents/?uuid=27d93051-bdde-400c-ae0e-cbc48232d324"]},{"id":"ITEM-2","itemData":{"DOI":"10.1016/j.clindermatol.2017.06.009","ISSN":"18791131","PMID":"28916025","abstract":"Nutritional deficiencies occur when body metabolic requirements are not matched by intake and absorption. Reasons for this discrepancy are numerous, but often social, economic, medical, and even psychiatric factors may play a role. Vitamins and minerals are required for appropriate rapid cell turnover of the oral mucosa. The oral cavity is a unique anatomic environment that may manifest early signs of nutritional disorders as well as other indicators of systemic disease. Knowledge of these oral manifestations and associated findings will allow a practitioner to consider a nutritional disorder when evaluating oral changes and, in turn, initiate appropriate therapy. A systematic approach to examination of the mouth and perioral skin is suggested. A detailed medical and social history complements the physical examination in identifying patients at risk for nutritional disorders and heightening the clinical suspicion to warrant additional nutritional screening. The rising prevalence of anorexia and bulimia, as well as fad diets, add to the population of patients at risk for vitamin and mineral deficiencies that a clinician must now consider.","author":[{"dropping-particle":"","family":"Tolkachjov","given":"Stanislav N.","non-dropping-particle":"","parse-names":false,"suffix":""},{"dropping-particle":"","family":"Bruce","given":"Alison J.","non-dropping-particle":"","parse-names":false,"suffix":""}],"container-title":"Clinics in Dermatology","id":"ITEM-2","issue":"5","issued":{"date-parts":[["2017"]]},"page":"441-452","publisher":"Elsevier Inc.","title":"Oral manifestations of nutritional disorders","type":"article-journal","volume":"35"},"uris":["http://www.mendeley.com/documents/?uuid=4bdf609d-ff1e-437d-ba30-b7e02f8ea8e0"]}],"mendeley":{"formattedCitation":"&lt;sup&gt;14,15&lt;/sup&gt;","plainTextFormattedCitation":"14,15","previouslyFormattedCitation":"&lt;sup&gt;14,15&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14,15</w:t>
      </w:r>
      <w:r w:rsidR="00E307F0">
        <w:rPr>
          <w:rFonts w:ascii="Georgia" w:eastAsia="Times New Roman" w:hAnsi="Georgia"/>
          <w:lang w:val="en-ID"/>
        </w:rPr>
        <w:fldChar w:fldCharType="end"/>
      </w:r>
      <w:r w:rsidRPr="008402DE">
        <w:rPr>
          <w:rFonts w:ascii="Georgia" w:eastAsia="Times New Roman" w:hAnsi="Georgia"/>
          <w:position w:val="6"/>
          <w:lang w:val="en-ID"/>
        </w:rPr>
        <w:t xml:space="preserve"> </w:t>
      </w:r>
      <w:r w:rsidRPr="008402DE">
        <w:rPr>
          <w:rFonts w:ascii="Georgia" w:eastAsia="Times New Roman" w:hAnsi="Georgia"/>
          <w:lang w:val="en-ID"/>
        </w:rPr>
        <w:t xml:space="preserve">Erosi gigi, karies gigi, </w:t>
      </w:r>
      <w:r>
        <w:rPr>
          <w:rFonts w:ascii="Georgia" w:eastAsia="Times New Roman" w:hAnsi="Georgia"/>
          <w:lang w:val="en-ID"/>
        </w:rPr>
        <w:t>gingivitis,</w:t>
      </w:r>
      <w:r w:rsidRPr="008402DE">
        <w:rPr>
          <w:rFonts w:ascii="Georgia" w:eastAsia="Times New Roman" w:hAnsi="Georgia"/>
          <w:lang w:val="en-ID"/>
        </w:rPr>
        <w:t xml:space="preserve"> periodontitis, hiposalivasi, dan penyakit pada jaringan lunak adalah </w:t>
      </w:r>
      <w:r>
        <w:rPr>
          <w:rFonts w:ascii="Georgia" w:eastAsia="Times New Roman" w:hAnsi="Georgia"/>
          <w:lang w:val="en-ID"/>
        </w:rPr>
        <w:t>manifestasi</w:t>
      </w:r>
      <w:r w:rsidRPr="008402DE">
        <w:rPr>
          <w:rFonts w:ascii="Georgia" w:eastAsia="Times New Roman" w:hAnsi="Georgia"/>
          <w:lang w:val="en-ID"/>
        </w:rPr>
        <w:t xml:space="preserve"> </w:t>
      </w:r>
      <w:r>
        <w:rPr>
          <w:rFonts w:ascii="Georgia" w:eastAsia="Times New Roman" w:hAnsi="Georgia"/>
          <w:lang w:val="en-ID"/>
        </w:rPr>
        <w:t>oral</w:t>
      </w:r>
      <w:r w:rsidRPr="008402DE">
        <w:rPr>
          <w:rFonts w:ascii="Georgia" w:eastAsia="Times New Roman" w:hAnsi="Georgia"/>
          <w:lang w:val="en-ID"/>
        </w:rPr>
        <w:t xml:space="preserve"> yang khas terkait dengan gangguan makan.</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{"citationItems":[{"id":"ITEM-1","itemData":{"DOI":"10.1016/j.appet.2012.06.016","ISSN":"01956663","PMID":"22750232","abstract":"Studies have reported that the oral health status is jeopardized in patients with eating disorders. The aim was to review the oro-facial manifestations in patients with eating disorders. The address the focused question was \" What is the oro-dental health status in patients with eating disorders?\" MEDLINE/PubMed and Google Scholar databases were searched from 1948 to March 2012 using the following terms in various combinations: \" Anorexia nervosa\" , \" bulimia nervosa\" , \" eating disorders\" , \" dental\" , \" oral health status\" Letters to the editor, unpublished data and articles published in languages other than English were excluded. Dry lips, burning tongue and parotid gland swelling are common manifestations in patients with eating disorders as compared to medically healthy controls. The association of dental caries and periodontal disease in patients with eating disorders remains debatable. Temporomandibular disorders have also been reported to be more prevalent in patients with eating disorders as compared to healthy controls. A critical oral-dental examination during routine dental check-ups may reveal valuable information regarding the presence or absence of eating disorders in routine dental patients. This may be important information, updating the medical history, supporting the role of the physician. © 2012 Elsevier Ltd.","author":[{"dropping-particle":"","family":"Romanos","given":"Georgios E.","non-dropping-particle":"","parse-names":false,"suffix":""},{"dropping-particle":"","family":"Javed","given":"Fawad","non-dropping-particle":"","parse-names":false,"suffix":""},{"dropping-particle":"","family":"Romanos","given":"Enisa B.","non-dropping-particle":"","parse-names":false,"suffix":""},{"dropping-particle":"","family":"Williams","given":"Ray C.","non-dropping-particle":"","parse-names":false,"suffix":""}],"container-title":"Appetite","id":"ITEM-1","issue":"2","issued":{"date-parts":[["2012"]]},"page":"499-504","publisher":"Elsevier Ltd","title":"Oro-facial manifestations in patients with eating disorders","type":"article-journal","volume":"59"},"uris":["http://www.mendeley.com/documents/?uuid=019b1152-960f-4053-8d8c-9f40a35cc96f"]},{"id":"ITEM-2","itemData":{"DOI":"10.1016/j.jpsychires.2017.09.022","ISSN":"18791379","PMID":"29078154","abstract":"Objectives The aim of this study is to describe oral lesions in patients with eating disorders (ED), including Anorexia Nervosa (AN), Bulimia Nervosa (BN) and eating disorders not otherwise specified (EDNOS). Material and methods A prospective case-control study was carried out from April 2003 to May 2004. Inclusion criteria for the study group were individuals with a diagnosis of ED; age and sex-matched individuals without ED were included as controls. Clinical data regarding ED, medical complications and oral examination were performed by previously calibrated professionals. Results Study group (n = 65) presented 46 cases of BN (71%), 13 of EDNOS (20%) and 6 of AN (9%); also, 94% (n = 61) showed oral lesions. The most common were: labial erythema, exfoliative cheilitis, orange-yellow palate, hemorrhagic lesions, lip-cheek biting and non-specific oral atrophies. Only two patients of the study group had dental erosions, and no case of major salivary gland swelling was found. Conclusions ED display a wide array of oral mucosal lesions that can be regarded as their early manifestations. The dentist could be the first professional to detect symptoms of eating disorders, potentially improving early detection and treatment of ED.","author":[{"dropping-particle":"","family":"Panico","given":"Rene","non-dropping-particle":"","parse-names":false,"suffix":""},{"dropping-particle":"","family":"Piemonte","given":"Eduardo","non-dropping-particle":"","parse-names":false,"suffix":""},{"dropping-particle":"","family":"Lazos","given":"Jerónimo","non-dropping-particle":"","parse-names":false,"suffix":""},{"dropping-particle":"","family":"Gilligan","given":"Gerardo","non-dropping-particle":"","parse-names":false,"suffix":""},{"dropping-particle":"","family":"Zampini","given":"Anibal","non-dropping-particle":"","parse-names":false,"suffix":""},{"dropping-particle":"","family":"Lanfranchi","given":"Héctor","non-dropping-particle":"","parse-names":false,"suffix":""}],"container-title":"Journal of Psychiatric Research","id":"ITEM-2","issued":{"date-parts":[["2018"]]},"page":"178-182","publisher":"Elsevier Ltd","title":"Oral mucosal lesions in Anorexia Nervosa, Bulimia Nervosa and EDNOS","type":"article-journal","volume":"96"},"uris":["http://www.mendeley.com/documents/?uuid=7fcd6fff-e378-45f4-8b9d-1aaa5b511156"]}],"mendeley":{"formattedCitation":"&lt;sup&gt;16,17&lt;/sup&gt;","plainTextFormattedCitation":"16,17","previouslyFormattedCitation":"&lt;sup&gt;16,17&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16,17</w:t>
      </w:r>
      <w:r w:rsidR="00E307F0">
        <w:rPr>
          <w:rFonts w:ascii="Georgia" w:eastAsia="Times New Roman" w:hAnsi="Georgia"/>
          <w:lang w:val="en-ID"/>
        </w:rPr>
        <w:fldChar w:fldCharType="end"/>
      </w:r>
      <w:r w:rsidRPr="008402DE">
        <w:rPr>
          <w:rFonts w:ascii="Georgia" w:eastAsia="Times New Roman" w:hAnsi="Georgia"/>
          <w:position w:val="6"/>
          <w:lang w:val="en-ID"/>
        </w:rPr>
        <w:t xml:space="preserve"> </w:t>
      </w:r>
      <w:r w:rsidR="00A37C8B">
        <w:rPr>
          <w:rFonts w:ascii="Georgia" w:eastAsia="Times New Roman" w:hAnsi="Georgia"/>
          <w:lang w:val="en-ID"/>
        </w:rPr>
        <w:t>Pasien</w:t>
      </w:r>
      <w:r w:rsidRPr="008402DE">
        <w:rPr>
          <w:rFonts w:ascii="Georgia" w:eastAsia="Times New Roman" w:hAnsi="Georgia"/>
          <w:lang w:val="en-ID"/>
        </w:rPr>
        <w:t xml:space="preserve"> dengan </w:t>
      </w:r>
      <w:r>
        <w:rPr>
          <w:rFonts w:ascii="Georgia" w:eastAsia="Times New Roman" w:hAnsi="Georgia"/>
          <w:lang w:val="en-ID"/>
        </w:rPr>
        <w:t>anoreksia</w:t>
      </w:r>
      <w:r w:rsidRPr="008402DE">
        <w:rPr>
          <w:rFonts w:ascii="Georgia" w:eastAsia="Times New Roman" w:hAnsi="Georgia"/>
          <w:lang w:val="en-ID"/>
        </w:rPr>
        <w:t xml:space="preserve"> dan </w:t>
      </w:r>
      <w:r>
        <w:rPr>
          <w:rFonts w:ascii="Georgia" w:eastAsia="Times New Roman" w:hAnsi="Georgia"/>
          <w:lang w:val="en-ID"/>
        </w:rPr>
        <w:t>bulimia nervosa</w:t>
      </w:r>
      <w:r w:rsidRPr="008402DE">
        <w:rPr>
          <w:rFonts w:ascii="Georgia" w:eastAsia="Times New Roman" w:hAnsi="Georgia"/>
          <w:lang w:val="en-ID"/>
        </w:rPr>
        <w:t xml:space="preserve"> sering</w:t>
      </w:r>
      <w:r>
        <w:rPr>
          <w:rFonts w:ascii="Georgia" w:eastAsia="Times New Roman" w:hAnsi="Georgia"/>
          <w:lang w:val="en-ID"/>
        </w:rPr>
        <w:t>kali</w:t>
      </w:r>
      <w:r w:rsidRPr="008402DE">
        <w:rPr>
          <w:rFonts w:ascii="Georgia" w:eastAsia="Times New Roman" w:hAnsi="Georgia"/>
          <w:lang w:val="en-ID"/>
        </w:rPr>
        <w:t xml:space="preserve"> menunjukkan kesehatan mulut dan periodontal yang buruk.</w:t>
      </w:r>
      <w:r w:rsidR="00E307F0">
        <w:rPr>
          <w:rFonts w:ascii="Georgia" w:eastAsia="Times New Roman" w:hAnsi="Georgia"/>
          <w:lang w:val="en-ID"/>
        </w:rPr>
        <w:fldChar w:fldCharType="begin" w:fldLock="1"/>
      </w:r>
      <w:r w:rsidR="00E307F0">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E307F0">
        <w:rPr>
          <w:rFonts w:ascii="Georgia" w:eastAsia="Times New Roman" w:hAnsi="Georgia"/>
          <w:lang w:val="en-ID"/>
        </w:rPr>
        <w:fldChar w:fldCharType="separate"/>
      </w:r>
      <w:r w:rsidR="00E307F0" w:rsidRPr="00E307F0">
        <w:rPr>
          <w:rFonts w:ascii="Georgia" w:eastAsia="Times New Roman" w:hAnsi="Georgia"/>
          <w:noProof/>
          <w:vertAlign w:val="superscript"/>
          <w:lang w:val="en-ID"/>
        </w:rPr>
        <w:t>18</w:t>
      </w:r>
      <w:r w:rsidR="00E307F0">
        <w:rPr>
          <w:rFonts w:ascii="Georgia" w:eastAsia="Times New Roman" w:hAnsi="Georgia"/>
          <w:lang w:val="en-ID"/>
        </w:rPr>
        <w:fldChar w:fldCharType="end"/>
      </w:r>
      <w:r w:rsidRPr="008402DE">
        <w:rPr>
          <w:rFonts w:ascii="Georgia" w:eastAsia="Times New Roman" w:hAnsi="Georgia"/>
          <w:position w:val="6"/>
          <w:lang w:val="en-ID"/>
        </w:rPr>
        <w:t xml:space="preserve"> </w:t>
      </w:r>
      <w:r w:rsidRPr="008402DE">
        <w:rPr>
          <w:rFonts w:ascii="Georgia" w:eastAsia="Times New Roman" w:hAnsi="Georgia"/>
          <w:lang w:val="en-ID"/>
        </w:rPr>
        <w:t xml:space="preserve">Penelitian ini bertujuan untuk menggambarkan status periodontal </w:t>
      </w:r>
      <w:r w:rsidR="00A37C8B">
        <w:rPr>
          <w:rFonts w:ascii="Georgia" w:eastAsia="Times New Roman" w:hAnsi="Georgia"/>
          <w:lang w:val="en-ID"/>
        </w:rPr>
        <w:t>pada pasien</w:t>
      </w:r>
      <w:r w:rsidRPr="008402DE">
        <w:rPr>
          <w:rFonts w:ascii="Georgia" w:eastAsia="Times New Roman" w:hAnsi="Georgia"/>
          <w:lang w:val="en-ID"/>
        </w:rPr>
        <w:t xml:space="preserve"> gangguan makan </w:t>
      </w:r>
      <w:r>
        <w:rPr>
          <w:rFonts w:ascii="Georgia" w:eastAsia="Times New Roman" w:hAnsi="Georgia"/>
          <w:lang w:val="en-ID"/>
        </w:rPr>
        <w:t xml:space="preserve">dengan </w:t>
      </w:r>
      <w:r w:rsidRPr="008402DE">
        <w:rPr>
          <w:rFonts w:ascii="Georgia" w:eastAsia="Times New Roman" w:hAnsi="Georgia"/>
          <w:lang w:val="en-ID"/>
        </w:rPr>
        <w:t xml:space="preserve">menggunakan </w:t>
      </w:r>
      <w:r>
        <w:rPr>
          <w:rFonts w:ascii="Georgia" w:eastAsia="Times New Roman" w:hAnsi="Georgia"/>
          <w:lang w:val="en-ID"/>
        </w:rPr>
        <w:t>metode scoping review</w:t>
      </w:r>
      <w:r w:rsidRPr="008402DE">
        <w:rPr>
          <w:rFonts w:ascii="Georgia" w:eastAsia="Times New Roman" w:hAnsi="Georgia"/>
          <w:lang w:val="en-ID"/>
        </w:rPr>
        <w:t xml:space="preserve">. </w:t>
      </w:r>
    </w:p>
    <w:p w:rsidR="000941F8" w:rsidRDefault="000941F8" w:rsidP="000941F8">
      <w:pPr>
        <w:pStyle w:val="Default"/>
        <w:spacing w:line="480" w:lineRule="auto"/>
        <w:jc w:val="both"/>
        <w:rPr>
          <w:rFonts w:ascii="Georgia" w:eastAsia="Times New Roman" w:hAnsi="Georgia"/>
          <w:lang w:val="en-ID"/>
        </w:rPr>
      </w:pPr>
    </w:p>
    <w:p w:rsidR="000941F8" w:rsidRDefault="000941F8" w:rsidP="000941F8">
      <w:pPr>
        <w:pStyle w:val="Default"/>
        <w:spacing w:line="480" w:lineRule="auto"/>
        <w:jc w:val="both"/>
        <w:rPr>
          <w:rFonts w:ascii="Georgia" w:hAnsi="Georgia"/>
          <w:b/>
          <w:color w:val="auto"/>
        </w:rPr>
      </w:pPr>
      <w:r w:rsidRPr="000941F8">
        <w:rPr>
          <w:rFonts w:ascii="Georgia" w:hAnsi="Georgia"/>
          <w:b/>
          <w:color w:val="auto"/>
        </w:rPr>
        <w:t>Metode</w:t>
      </w:r>
    </w:p>
    <w:p w:rsidR="00D23969" w:rsidRDefault="000941F8" w:rsidP="00D23969">
      <w:pPr>
        <w:pStyle w:val="Default"/>
        <w:spacing w:line="480" w:lineRule="auto"/>
        <w:jc w:val="both"/>
        <w:rPr>
          <w:rFonts w:ascii="Georgia" w:eastAsia="Times New Roman" w:hAnsi="Georgia"/>
          <w:lang w:val="en-ID"/>
        </w:rPr>
      </w:pPr>
      <w:r w:rsidRPr="000941F8">
        <w:rPr>
          <w:rFonts w:ascii="Georgia" w:eastAsia="Times New Roman" w:hAnsi="Georgia"/>
          <w:lang w:val="en-ID"/>
        </w:rPr>
        <w:t>Jenis penelitian ini bersifat deskriptif dan observasional melalui</w:t>
      </w:r>
      <w:r>
        <w:rPr>
          <w:rFonts w:ascii="Georgia" w:eastAsia="Times New Roman" w:hAnsi="Georgia"/>
          <w:lang w:val="en-ID"/>
        </w:rPr>
        <w:t xml:space="preserve"> scoping review</w:t>
      </w:r>
      <w:r w:rsidRPr="000941F8">
        <w:rPr>
          <w:rFonts w:ascii="Georgia" w:eastAsia="Times New Roman" w:hAnsi="Georgia"/>
          <w:lang w:val="en-ID"/>
        </w:rPr>
        <w:t xml:space="preserve">. </w:t>
      </w:r>
      <w:r>
        <w:rPr>
          <w:rFonts w:ascii="Georgia" w:eastAsia="Times New Roman" w:hAnsi="Georgia"/>
          <w:lang w:val="en-ID"/>
        </w:rPr>
        <w:t xml:space="preserve">Proses penelitian ini menggunakan panduan </w:t>
      </w:r>
      <w:r w:rsidRPr="000941F8">
        <w:rPr>
          <w:rFonts w:ascii="Georgia" w:eastAsia="Times New Roman" w:hAnsi="Georgia"/>
          <w:i/>
          <w:iCs/>
          <w:lang w:val="en-ID"/>
        </w:rPr>
        <w:t>Preferred Reporting Items Systematic Reviews and Meta-Analyses</w:t>
      </w:r>
      <w:r w:rsidRPr="000941F8">
        <w:rPr>
          <w:rFonts w:ascii="Georgia" w:eastAsia="Times New Roman" w:hAnsi="Georgia"/>
          <w:lang w:val="en-ID"/>
        </w:rPr>
        <w:t xml:space="preserve"> (PRISMA). Konteks</w:t>
      </w:r>
      <w:r w:rsidR="00D23969">
        <w:rPr>
          <w:rFonts w:ascii="Georgia" w:eastAsia="Times New Roman" w:hAnsi="Georgia"/>
          <w:lang w:val="en-ID"/>
        </w:rPr>
        <w:t xml:space="preserve"> </w:t>
      </w:r>
      <w:r w:rsidRPr="000941F8">
        <w:rPr>
          <w:rFonts w:ascii="Georgia" w:eastAsia="Times New Roman" w:hAnsi="Georgia"/>
          <w:lang w:val="en-ID"/>
        </w:rPr>
        <w:t xml:space="preserve">dari penelitian ini adalah status periodontal </w:t>
      </w:r>
      <w:r w:rsidR="00D23969">
        <w:rPr>
          <w:rFonts w:ascii="Georgia" w:eastAsia="Times New Roman" w:hAnsi="Georgia"/>
          <w:lang w:val="en-ID"/>
        </w:rPr>
        <w:t xml:space="preserve">pada </w:t>
      </w:r>
      <w:r w:rsidR="00A37C8B">
        <w:rPr>
          <w:rFonts w:ascii="Georgia" w:eastAsia="Times New Roman" w:hAnsi="Georgia"/>
          <w:lang w:val="en-ID"/>
        </w:rPr>
        <w:t>pasien</w:t>
      </w:r>
      <w:r w:rsidRPr="000941F8">
        <w:rPr>
          <w:rFonts w:ascii="Georgia" w:eastAsia="Times New Roman" w:hAnsi="Georgia"/>
          <w:lang w:val="en-ID"/>
        </w:rPr>
        <w:t xml:space="preserve"> </w:t>
      </w:r>
      <w:r w:rsidR="00D23969">
        <w:rPr>
          <w:rFonts w:ascii="Georgia" w:eastAsia="Times New Roman" w:hAnsi="Georgia"/>
          <w:lang w:val="en-ID"/>
        </w:rPr>
        <w:t xml:space="preserve">dengan </w:t>
      </w:r>
      <w:r w:rsidRPr="000941F8">
        <w:rPr>
          <w:rFonts w:ascii="Georgia" w:eastAsia="Times New Roman" w:hAnsi="Georgia"/>
          <w:lang w:val="en-ID"/>
        </w:rPr>
        <w:t xml:space="preserve">gangguan makan dilihat dari parameter klinis, seperti perdarahan gingiva, kedalaman poket, dan kehilangan perlekatan. Parameter klinis yang termasuk dalam penelitian ini adalah </w:t>
      </w:r>
      <w:r w:rsidR="00D23969">
        <w:rPr>
          <w:rFonts w:ascii="Georgia" w:eastAsia="Times New Roman" w:hAnsi="Georgia"/>
          <w:i/>
          <w:iCs/>
          <w:lang w:val="en-ID"/>
        </w:rPr>
        <w:t>c</w:t>
      </w:r>
      <w:r w:rsidRPr="000941F8">
        <w:rPr>
          <w:rFonts w:ascii="Georgia" w:eastAsia="Times New Roman" w:hAnsi="Georgia"/>
          <w:i/>
          <w:iCs/>
          <w:lang w:val="en-ID"/>
        </w:rPr>
        <w:t>ommunity periodontal index</w:t>
      </w:r>
      <w:r w:rsidRPr="000941F8">
        <w:rPr>
          <w:rFonts w:ascii="Georgia" w:eastAsia="Times New Roman" w:hAnsi="Georgia"/>
          <w:lang w:val="en-ID"/>
        </w:rPr>
        <w:t xml:space="preserve"> (CPI), </w:t>
      </w:r>
      <w:r w:rsidR="00D23969">
        <w:rPr>
          <w:rFonts w:ascii="Georgia" w:eastAsia="Times New Roman" w:hAnsi="Georgia"/>
          <w:i/>
          <w:iCs/>
          <w:lang w:val="en-ID"/>
        </w:rPr>
        <w:t>g</w:t>
      </w:r>
      <w:r w:rsidRPr="000941F8">
        <w:rPr>
          <w:rFonts w:ascii="Georgia" w:eastAsia="Times New Roman" w:hAnsi="Georgia"/>
          <w:i/>
          <w:iCs/>
          <w:lang w:val="en-ID"/>
        </w:rPr>
        <w:t>ingival bleeding index</w:t>
      </w:r>
      <w:r w:rsidRPr="000941F8">
        <w:rPr>
          <w:rFonts w:ascii="Georgia" w:eastAsia="Times New Roman" w:hAnsi="Georgia"/>
          <w:lang w:val="en-ID"/>
        </w:rPr>
        <w:t xml:space="preserve"> (GBI), </w:t>
      </w:r>
      <w:r w:rsidR="00D23969">
        <w:rPr>
          <w:rFonts w:ascii="Georgia" w:eastAsia="Times New Roman" w:hAnsi="Georgia"/>
          <w:i/>
          <w:iCs/>
          <w:lang w:val="en-ID"/>
        </w:rPr>
        <w:t>b</w:t>
      </w:r>
      <w:r w:rsidRPr="000941F8">
        <w:rPr>
          <w:rFonts w:ascii="Georgia" w:eastAsia="Times New Roman" w:hAnsi="Georgia"/>
          <w:i/>
          <w:iCs/>
          <w:lang w:val="en-ID"/>
        </w:rPr>
        <w:t>leeding on probing</w:t>
      </w:r>
      <w:r w:rsidRPr="000941F8">
        <w:rPr>
          <w:rFonts w:ascii="Georgia" w:eastAsia="Times New Roman" w:hAnsi="Georgia"/>
          <w:lang w:val="en-ID"/>
        </w:rPr>
        <w:t xml:space="preserve"> (BOP), </w:t>
      </w:r>
      <w:r w:rsidR="00D23969">
        <w:rPr>
          <w:rFonts w:ascii="Georgia" w:eastAsia="Times New Roman" w:hAnsi="Georgia"/>
          <w:i/>
          <w:iCs/>
          <w:lang w:val="en-ID"/>
        </w:rPr>
        <w:t>c</w:t>
      </w:r>
      <w:r w:rsidRPr="000941F8">
        <w:rPr>
          <w:rFonts w:ascii="Georgia" w:eastAsia="Times New Roman" w:hAnsi="Georgia"/>
          <w:i/>
          <w:iCs/>
          <w:lang w:val="en-ID"/>
        </w:rPr>
        <w:t xml:space="preserve">linical attachment loss </w:t>
      </w:r>
      <w:r w:rsidRPr="000941F8">
        <w:rPr>
          <w:rFonts w:ascii="Georgia" w:eastAsia="Times New Roman" w:hAnsi="Georgia"/>
          <w:lang w:val="en-ID"/>
        </w:rPr>
        <w:t xml:space="preserve">(CAL), </w:t>
      </w:r>
      <w:r w:rsidR="00D23969">
        <w:rPr>
          <w:rFonts w:ascii="Georgia" w:eastAsia="Times New Roman" w:hAnsi="Georgia"/>
          <w:lang w:val="en-ID"/>
        </w:rPr>
        <w:t>kedalaman poket</w:t>
      </w:r>
      <w:r w:rsidRPr="000941F8">
        <w:rPr>
          <w:rFonts w:ascii="Georgia" w:eastAsia="Times New Roman" w:hAnsi="Georgia"/>
          <w:lang w:val="en-ID"/>
        </w:rPr>
        <w:t xml:space="preserve">, </w:t>
      </w:r>
      <w:r w:rsidR="00D23969">
        <w:rPr>
          <w:rFonts w:ascii="Georgia" w:eastAsia="Times New Roman" w:hAnsi="Georgia"/>
          <w:i/>
          <w:iCs/>
          <w:lang w:val="en-ID"/>
        </w:rPr>
        <w:t>g</w:t>
      </w:r>
      <w:r w:rsidRPr="000941F8">
        <w:rPr>
          <w:rFonts w:ascii="Georgia" w:eastAsia="Times New Roman" w:hAnsi="Georgia"/>
          <w:i/>
          <w:iCs/>
          <w:lang w:val="en-ID"/>
        </w:rPr>
        <w:t>ingival index</w:t>
      </w:r>
      <w:r w:rsidRPr="000941F8">
        <w:rPr>
          <w:rFonts w:ascii="Georgia" w:eastAsia="Times New Roman" w:hAnsi="Georgia"/>
          <w:lang w:val="en-ID"/>
        </w:rPr>
        <w:t xml:space="preserve"> (GI), dan </w:t>
      </w:r>
      <w:r w:rsidR="00D23969">
        <w:rPr>
          <w:rFonts w:ascii="Georgia" w:eastAsia="Times New Roman" w:hAnsi="Georgia"/>
          <w:i/>
          <w:iCs/>
          <w:lang w:val="en-ID"/>
        </w:rPr>
        <w:t>p</w:t>
      </w:r>
      <w:r w:rsidRPr="000941F8">
        <w:rPr>
          <w:rFonts w:ascii="Georgia" w:eastAsia="Times New Roman" w:hAnsi="Georgia"/>
          <w:i/>
          <w:iCs/>
          <w:lang w:val="en-ID"/>
        </w:rPr>
        <w:t>eriodontal index</w:t>
      </w:r>
      <w:r w:rsidRPr="000941F8">
        <w:rPr>
          <w:rFonts w:ascii="Georgia" w:eastAsia="Times New Roman" w:hAnsi="Georgia"/>
          <w:lang w:val="en-ID"/>
        </w:rPr>
        <w:t xml:space="preserve"> (PI). </w:t>
      </w:r>
    </w:p>
    <w:p w:rsidR="001E3F7D" w:rsidRDefault="000941F8" w:rsidP="001E3F7D">
      <w:pPr>
        <w:pStyle w:val="Default"/>
        <w:spacing w:line="480" w:lineRule="auto"/>
        <w:ind w:firstLine="340"/>
        <w:jc w:val="both"/>
        <w:rPr>
          <w:rFonts w:ascii="Georgia" w:eastAsia="Times New Roman" w:hAnsi="Georgia"/>
          <w:lang w:val="en-ID"/>
        </w:rPr>
      </w:pPr>
      <w:r w:rsidRPr="000941F8">
        <w:rPr>
          <w:rFonts w:ascii="Georgia" w:eastAsia="Times New Roman" w:hAnsi="Georgia"/>
          <w:lang w:val="en-ID"/>
        </w:rPr>
        <w:lastRenderedPageBreak/>
        <w:t>Kriteria inklusi pada penelitian ini adalah (1) Jurnal yang telah dipublikasikan dan dapat diakses secara lengkap (</w:t>
      </w:r>
      <w:r w:rsidRPr="000941F8">
        <w:rPr>
          <w:rFonts w:ascii="Georgia" w:eastAsia="Times New Roman" w:hAnsi="Georgia"/>
          <w:i/>
          <w:iCs/>
          <w:lang w:val="en-ID"/>
        </w:rPr>
        <w:t>full text</w:t>
      </w:r>
      <w:r w:rsidRPr="000941F8">
        <w:rPr>
          <w:rFonts w:ascii="Georgia" w:eastAsia="Times New Roman" w:hAnsi="Georgia"/>
          <w:lang w:val="en-ID"/>
        </w:rPr>
        <w:t xml:space="preserve">), (2) </w:t>
      </w:r>
      <w:r w:rsidR="006831F1">
        <w:rPr>
          <w:rFonts w:ascii="Georgia" w:eastAsia="Times New Roman" w:hAnsi="Georgia"/>
          <w:lang w:val="en-ID"/>
        </w:rPr>
        <w:t>J</w:t>
      </w:r>
      <w:r w:rsidRPr="000941F8">
        <w:rPr>
          <w:rFonts w:ascii="Georgia" w:eastAsia="Times New Roman" w:hAnsi="Georgia"/>
          <w:lang w:val="en-ID"/>
        </w:rPr>
        <w:t>urnal sepuluh tahun terakhir, (3) Jurnal berbahasa Inggris dan bahasa Indonesia, (4) Jurnal yang menggunakan desain</w:t>
      </w:r>
      <w:r w:rsidR="00D23969">
        <w:rPr>
          <w:rFonts w:ascii="Georgia" w:eastAsia="Times New Roman" w:hAnsi="Georgia"/>
          <w:lang w:val="en-ID"/>
        </w:rPr>
        <w:t>:</w:t>
      </w:r>
      <w:r w:rsidRPr="000941F8">
        <w:rPr>
          <w:rFonts w:ascii="Georgia" w:eastAsia="Times New Roman" w:hAnsi="Georgia"/>
          <w:lang w:val="en-ID"/>
        </w:rPr>
        <w:t xml:space="preserve"> artikel </w:t>
      </w:r>
      <w:r w:rsidRPr="000941F8">
        <w:rPr>
          <w:rFonts w:ascii="Georgia" w:eastAsia="Times New Roman" w:hAnsi="Georgia"/>
          <w:i/>
          <w:iCs/>
          <w:lang w:val="en-ID"/>
        </w:rPr>
        <w:t>review</w:t>
      </w:r>
      <w:r w:rsidRPr="000941F8">
        <w:rPr>
          <w:rFonts w:ascii="Georgia" w:eastAsia="Times New Roman" w:hAnsi="Georgia"/>
          <w:lang w:val="en-ID"/>
        </w:rPr>
        <w:t>, artikel original, studi</w:t>
      </w:r>
      <w:r w:rsidR="001E3F7D">
        <w:rPr>
          <w:rFonts w:ascii="Georgia" w:eastAsia="Times New Roman" w:hAnsi="Georgia"/>
          <w:lang w:val="en-ID"/>
        </w:rPr>
        <w:t xml:space="preserve"> uji acak ter</w:t>
      </w:r>
      <w:r w:rsidR="00D23969">
        <w:rPr>
          <w:rFonts w:ascii="Georgia" w:eastAsia="Times New Roman" w:hAnsi="Georgia"/>
          <w:lang w:val="en-ID"/>
        </w:rPr>
        <w:t>kontrol</w:t>
      </w:r>
      <w:r w:rsidRPr="000941F8">
        <w:rPr>
          <w:rFonts w:ascii="Georgia" w:eastAsia="Times New Roman" w:hAnsi="Georgia"/>
          <w:lang w:val="en-ID"/>
        </w:rPr>
        <w:t xml:space="preserve">, studi kohort, studi kasus-kontrol, studi potong lintang. Kriteria eksklusi dari penelitian ini adalah (1) Jurnal yang tidak relevan dengan topik penelitian, (2) Jurnal yang tidak dapat diakses secara </w:t>
      </w:r>
      <w:r w:rsidR="001E3F7D">
        <w:rPr>
          <w:rFonts w:ascii="Georgia" w:eastAsia="Times New Roman" w:hAnsi="Georgia"/>
          <w:lang w:val="en-ID"/>
        </w:rPr>
        <w:t>lengkap</w:t>
      </w:r>
      <w:r w:rsidRPr="000941F8">
        <w:rPr>
          <w:rFonts w:ascii="Georgia" w:eastAsia="Times New Roman" w:hAnsi="Georgia"/>
          <w:lang w:val="en-ID"/>
        </w:rPr>
        <w:t xml:space="preserve">, (3) Jurnal yang tidak menggunakan bahasa Inggris dan bahasa Indonesia, dan (4) Jurnal yang menggunakan desain penelitian </w:t>
      </w:r>
      <w:r w:rsidRPr="000941F8">
        <w:rPr>
          <w:rFonts w:ascii="Georgia" w:eastAsia="Times New Roman" w:hAnsi="Georgia"/>
          <w:i/>
          <w:iCs/>
          <w:lang w:val="en-ID"/>
        </w:rPr>
        <w:t>scoping review, rapid review, systematic review</w:t>
      </w:r>
      <w:r w:rsidRPr="000941F8">
        <w:rPr>
          <w:rFonts w:ascii="Georgia" w:eastAsia="Times New Roman" w:hAnsi="Georgia"/>
          <w:lang w:val="en-ID"/>
        </w:rPr>
        <w:t xml:space="preserve">, dan meta analisis. </w:t>
      </w:r>
    </w:p>
    <w:p w:rsidR="001E3F7D" w:rsidRDefault="000941F8" w:rsidP="001E3F7D">
      <w:pPr>
        <w:pStyle w:val="Default"/>
        <w:spacing w:line="480" w:lineRule="auto"/>
        <w:ind w:firstLine="340"/>
        <w:jc w:val="both"/>
        <w:rPr>
          <w:rFonts w:ascii="Georgia" w:hAnsi="Georgia" w:cs="Arial"/>
          <w:i/>
          <w:iCs/>
        </w:rPr>
      </w:pPr>
      <w:r w:rsidRPr="000941F8">
        <w:rPr>
          <w:rFonts w:ascii="Georgia" w:eastAsia="Times New Roman" w:hAnsi="Georgia"/>
          <w:lang w:val="en-ID"/>
        </w:rPr>
        <w:t xml:space="preserve">Penelitian ini mengacu pada data sekunder yang diperoleh dari hasil penelitian sebelumnya. Jurnal yang relevan dengan topik penelitian diakses melalui database </w:t>
      </w:r>
      <w:r w:rsidRPr="000941F8">
        <w:rPr>
          <w:rFonts w:ascii="Georgia" w:eastAsia="Times New Roman" w:hAnsi="Georgia"/>
          <w:i/>
          <w:iCs/>
          <w:lang w:val="en-ID"/>
        </w:rPr>
        <w:t>PubMed, Unbound MEDLINE, dan Wiley Online Library</w:t>
      </w:r>
      <w:r w:rsidRPr="000941F8">
        <w:rPr>
          <w:rFonts w:ascii="Georgia" w:eastAsia="Times New Roman" w:hAnsi="Georgia"/>
          <w:lang w:val="en-ID"/>
        </w:rPr>
        <w:t xml:space="preserve">. Pencarian dilakukan dengan menentukan </w:t>
      </w:r>
      <w:r w:rsidR="001E3F7D" w:rsidRPr="001E3F7D">
        <w:rPr>
          <w:rFonts w:ascii="Georgia" w:eastAsia="Times New Roman" w:hAnsi="Georgia"/>
          <w:lang w:val="en-ID"/>
        </w:rPr>
        <w:t>spesifikasi</w:t>
      </w:r>
      <w:r w:rsidRPr="000941F8">
        <w:rPr>
          <w:rFonts w:ascii="Georgia" w:eastAsia="Times New Roman" w:hAnsi="Georgia"/>
          <w:lang w:val="en-ID"/>
        </w:rPr>
        <w:t xml:space="preserve"> menggunakan kata kunci boolean, yaitu </w:t>
      </w:r>
      <w:r w:rsidR="001E3F7D" w:rsidRPr="001E3F7D">
        <w:rPr>
          <w:rFonts w:ascii="Georgia" w:hAnsi="Georgia" w:cs="Arial"/>
        </w:rPr>
        <w:t>(“</w:t>
      </w:r>
      <w:r w:rsidR="001E3F7D" w:rsidRPr="001E3F7D">
        <w:rPr>
          <w:rFonts w:ascii="Georgia" w:hAnsi="Georgia" w:cs="Arial"/>
          <w:i/>
          <w:iCs/>
        </w:rPr>
        <w:t>Feeding and Eating Disorders” OR “Eating disorders” OR “Anorexia Nervosa” OR “Bulimia Nervosa” OR “Binge Eating Disorder”) AND (“Periodontal” OR “Periodontal Status” OR “Periodontal Disease” OR “Oral Health” OR “Gingival Recession” OR “Gingivitis” OR “Periodontitis” OR “Gingival Bleeding Index” OR “Bleeding on Probing” OR  “Probing Depth” OR “Periodontal Pocket Depth” OR “Community Periodontal Index” OR “Clinical Attachment Loss” OR “Gingival Index” OR “Periodontal Index”) NOT (“Systematic Review” OR “Meta-analysis” OR “Scoping Review” OR “Rapid Review”).</w:t>
      </w:r>
    </w:p>
    <w:p w:rsidR="000941F8" w:rsidRDefault="000941F8" w:rsidP="001E3F7D">
      <w:pPr>
        <w:pStyle w:val="Default"/>
        <w:spacing w:line="480" w:lineRule="auto"/>
        <w:ind w:firstLine="340"/>
        <w:jc w:val="both"/>
        <w:rPr>
          <w:rFonts w:ascii="Georgia" w:eastAsia="Times New Roman" w:hAnsi="Georgia"/>
          <w:lang w:val="en-ID"/>
        </w:rPr>
      </w:pPr>
      <w:r w:rsidRPr="000941F8">
        <w:rPr>
          <w:rFonts w:ascii="Georgia" w:eastAsia="Times New Roman" w:hAnsi="Georgia"/>
          <w:lang w:val="en-ID"/>
        </w:rPr>
        <w:lastRenderedPageBreak/>
        <w:t xml:space="preserve">Semua artikel dari ketiga </w:t>
      </w:r>
      <w:r w:rsidR="001E3F7D">
        <w:rPr>
          <w:rFonts w:ascii="Georgia" w:eastAsia="Times New Roman" w:hAnsi="Georgia"/>
          <w:lang w:val="en-ID"/>
        </w:rPr>
        <w:t>basis data</w:t>
      </w:r>
      <w:r w:rsidRPr="000941F8">
        <w:rPr>
          <w:rFonts w:ascii="Georgia" w:eastAsia="Times New Roman" w:hAnsi="Georgia"/>
          <w:lang w:val="en-ID"/>
        </w:rPr>
        <w:t xml:space="preserve"> diperiksa</w:t>
      </w:r>
      <w:r w:rsidR="006831F1">
        <w:rPr>
          <w:rFonts w:ascii="Georgia" w:eastAsia="Times New Roman" w:hAnsi="Georgia"/>
          <w:lang w:val="en-ID"/>
        </w:rPr>
        <w:t xml:space="preserve"> dan diteliti</w:t>
      </w:r>
      <w:r w:rsidR="001E3F7D">
        <w:rPr>
          <w:rFonts w:ascii="Georgia" w:eastAsia="Times New Roman" w:hAnsi="Georgia"/>
          <w:lang w:val="en-ID"/>
        </w:rPr>
        <w:t xml:space="preserve">. </w:t>
      </w:r>
      <w:r w:rsidRPr="000941F8">
        <w:rPr>
          <w:rFonts w:ascii="Georgia" w:eastAsia="Times New Roman" w:hAnsi="Georgia"/>
          <w:lang w:val="en-ID"/>
        </w:rPr>
        <w:t xml:space="preserve">Tahap penyaringan berdasarkan kriteria inklusi dan eksklusi. Artikel yang tidak memenuhi kriteria dikeluarkan dari penelitian. Setelah itu, diperoleh artikel dalam bentuk </w:t>
      </w:r>
      <w:r w:rsidRPr="000941F8">
        <w:rPr>
          <w:rFonts w:ascii="Georgia" w:eastAsia="Times New Roman" w:hAnsi="Georgia"/>
          <w:i/>
          <w:iCs/>
          <w:lang w:val="en-ID"/>
        </w:rPr>
        <w:t>full tex</w:t>
      </w:r>
      <w:r w:rsidR="006831F1">
        <w:rPr>
          <w:rFonts w:ascii="Georgia" w:eastAsia="Times New Roman" w:hAnsi="Georgia"/>
          <w:i/>
          <w:iCs/>
          <w:lang w:val="en-ID"/>
        </w:rPr>
        <w:t xml:space="preserve">t, </w:t>
      </w:r>
      <w:r w:rsidRPr="000941F8">
        <w:rPr>
          <w:rFonts w:ascii="Georgia" w:eastAsia="Times New Roman" w:hAnsi="Georgia"/>
          <w:lang w:val="en-ID"/>
        </w:rPr>
        <w:t>dan menghasilkan artikel akhir yang akan digunakan untuk penelitian</w:t>
      </w:r>
      <w:r w:rsidR="00FE6657">
        <w:rPr>
          <w:rFonts w:ascii="Georgia" w:eastAsia="Times New Roman" w:hAnsi="Georgia"/>
          <w:lang w:val="en-ID"/>
        </w:rPr>
        <w:t xml:space="preserve">. </w:t>
      </w:r>
      <w:r w:rsidRPr="000941F8">
        <w:rPr>
          <w:rFonts w:ascii="Georgia" w:eastAsia="Times New Roman" w:hAnsi="Georgia"/>
          <w:lang w:val="en-ID"/>
        </w:rPr>
        <w:t xml:space="preserve">Langkah selanjutnya adalah membuat tabel ringkasan jurnal yang dicari. </w:t>
      </w:r>
    </w:p>
    <w:p w:rsidR="001E3F7D" w:rsidRPr="00CB15FA" w:rsidRDefault="001E3F7D" w:rsidP="001E3F7D">
      <w:pPr>
        <w:pStyle w:val="Default"/>
        <w:spacing w:line="480" w:lineRule="auto"/>
        <w:ind w:firstLine="340"/>
        <w:jc w:val="both"/>
        <w:rPr>
          <w:rFonts w:ascii="Georgia" w:hAnsi="Georgia"/>
          <w:color w:val="auto"/>
        </w:rPr>
      </w:pPr>
    </w:p>
    <w:p w:rsidR="001E3F7D" w:rsidRPr="00CB15FA" w:rsidRDefault="001E3F7D" w:rsidP="001E3F7D">
      <w:pPr>
        <w:pStyle w:val="Default"/>
        <w:spacing w:line="480" w:lineRule="auto"/>
        <w:jc w:val="both"/>
        <w:rPr>
          <w:rFonts w:ascii="Georgia" w:hAnsi="Georgia"/>
          <w:color w:val="auto"/>
        </w:rPr>
      </w:pPr>
      <w:r w:rsidRPr="00CB15FA">
        <w:rPr>
          <w:rFonts w:ascii="Georgia" w:hAnsi="Georgia"/>
          <w:b/>
          <w:color w:val="auto"/>
        </w:rPr>
        <w:t>Hasil</w:t>
      </w:r>
    </w:p>
    <w:p w:rsidR="00C611E2" w:rsidRPr="00803C41" w:rsidRDefault="00A21AC6" w:rsidP="00803C41">
      <w:pPr>
        <w:spacing w:before="100" w:beforeAutospacing="1" w:after="100" w:afterAutospacing="1" w:line="480" w:lineRule="auto"/>
        <w:jc w:val="both"/>
        <w:rPr>
          <w:rFonts w:ascii="Georgia" w:eastAsia="Times New Roman" w:hAnsi="Georgia" w:cs="Times New Roman"/>
          <w:sz w:val="24"/>
          <w:szCs w:val="24"/>
          <w:lang w:val="en-ID" w:eastAsia="en-US"/>
        </w:rPr>
      </w:pPr>
      <w:r w:rsidRPr="00803C41">
        <w:rPr>
          <w:rFonts w:ascii="Georgia" w:eastAsia="Times New Roman" w:hAnsi="Georgia" w:cs="Times New Roman"/>
          <w:sz w:val="24"/>
          <w:szCs w:val="24"/>
          <w:lang w:val="en-ID" w:eastAsia="en-US"/>
        </w:rPr>
        <w:t xml:space="preserve">Penelitian ini dilakukan untuk mengetahui gambaran teoritis dalam literatur mengenai status periodontal pada </w:t>
      </w:r>
      <w:r w:rsidR="00A37C8B">
        <w:rPr>
          <w:rFonts w:ascii="Georgia" w:eastAsia="Times New Roman" w:hAnsi="Georgia" w:cs="Times New Roman"/>
          <w:sz w:val="24"/>
          <w:szCs w:val="24"/>
          <w:lang w:val="en-ID" w:eastAsia="en-US"/>
        </w:rPr>
        <w:t>pasien</w:t>
      </w:r>
      <w:r w:rsidRPr="00803C41">
        <w:rPr>
          <w:rFonts w:ascii="Georgia" w:eastAsia="Times New Roman" w:hAnsi="Georgia" w:cs="Times New Roman"/>
          <w:sz w:val="24"/>
          <w:szCs w:val="24"/>
          <w:lang w:val="en-ID" w:eastAsia="en-US"/>
        </w:rPr>
        <w:t xml:space="preserve"> dengan gangguan makan dari bulan September 2022 hingga Desember 2022. </w:t>
      </w:r>
      <w:r w:rsidRPr="00803C41">
        <w:rPr>
          <w:rFonts w:ascii="Georgia" w:eastAsia="Times New Roman" w:hAnsi="Georgia"/>
          <w:sz w:val="24"/>
          <w:szCs w:val="24"/>
          <w:lang w:val="en-ID"/>
        </w:rPr>
        <w:t xml:space="preserve">Berdasarkan hasil pencarian dengan menggunakan kata kunci pencarian boolean pada tiga database elektronik, </w:t>
      </w:r>
      <w:r w:rsidR="006831F1" w:rsidRPr="00803C41">
        <w:rPr>
          <w:rFonts w:ascii="Georgia" w:eastAsia="Times New Roman" w:hAnsi="Georgia"/>
          <w:sz w:val="24"/>
          <w:szCs w:val="24"/>
          <w:lang w:val="en-ID"/>
        </w:rPr>
        <w:t>t</w:t>
      </w:r>
      <w:r w:rsidRPr="00803C41">
        <w:rPr>
          <w:rFonts w:ascii="Georgia" w:eastAsia="Times New Roman" w:hAnsi="Georgia"/>
          <w:sz w:val="24"/>
          <w:szCs w:val="24"/>
          <w:lang w:val="en-ID"/>
        </w:rPr>
        <w:t xml:space="preserve">otal data yang diperoleh adalah 345 artikel. Dari 345 artikel tersebut </w:t>
      </w:r>
      <w:r w:rsidR="006831F1" w:rsidRPr="00803C41">
        <w:rPr>
          <w:rFonts w:ascii="Georgia" w:eastAsia="Times New Roman" w:hAnsi="Georgia"/>
          <w:sz w:val="24"/>
          <w:szCs w:val="24"/>
          <w:lang w:val="en-ID"/>
        </w:rPr>
        <w:t xml:space="preserve">dilakukan proses eliminasi sesuai dengan kriteria penilaian, </w:t>
      </w:r>
      <w:r w:rsidRPr="00803C41">
        <w:rPr>
          <w:rFonts w:ascii="Georgia" w:eastAsia="Times New Roman" w:hAnsi="Georgia"/>
          <w:sz w:val="24"/>
          <w:szCs w:val="24"/>
          <w:lang w:val="en-ID"/>
        </w:rPr>
        <w:t xml:space="preserve">terdapat 14 artikel dengan teks lengkap yang tersisa. Artikel-artikel tersebut </w:t>
      </w:r>
      <w:r w:rsidR="00C611E2" w:rsidRPr="00803C41">
        <w:rPr>
          <w:rFonts w:ascii="Georgia" w:eastAsia="Times New Roman" w:hAnsi="Georgia"/>
          <w:sz w:val="24"/>
          <w:szCs w:val="24"/>
          <w:lang w:val="en-ID"/>
        </w:rPr>
        <w:t xml:space="preserve">dibaca, dipahami, dan diteliti, kemudian </w:t>
      </w:r>
      <w:r w:rsidR="006831F1" w:rsidRPr="00803C41">
        <w:rPr>
          <w:rFonts w:ascii="Georgia" w:eastAsia="Times New Roman" w:hAnsi="Georgia"/>
          <w:sz w:val="24"/>
          <w:szCs w:val="24"/>
          <w:lang w:val="en-ID"/>
        </w:rPr>
        <w:t>terdapat</w:t>
      </w:r>
      <w:r w:rsidR="00C611E2" w:rsidRPr="00803C41">
        <w:rPr>
          <w:rFonts w:ascii="Georgia" w:eastAsia="Times New Roman" w:hAnsi="Georgia"/>
          <w:sz w:val="24"/>
          <w:szCs w:val="24"/>
          <w:lang w:val="en-ID"/>
        </w:rPr>
        <w:t xml:space="preserve"> 9 artikel yang dieksklusi karena tidak relevan dengan penelitian. Dengan demikian, terdapat 5 artikel dengan teks lengkap yang sesuai untuk penelitian. Proses seleksi ini dapat dilihat lebih jelas pada diagram al</w:t>
      </w:r>
      <w:r w:rsidR="004E13FA" w:rsidRPr="00803C41">
        <w:rPr>
          <w:rFonts w:ascii="Georgia" w:eastAsia="Times New Roman" w:hAnsi="Georgia"/>
          <w:sz w:val="24"/>
          <w:szCs w:val="24"/>
          <w:lang w:val="en-ID"/>
        </w:rPr>
        <w:t>u</w:t>
      </w:r>
      <w:r w:rsidR="00C611E2" w:rsidRPr="00803C41">
        <w:rPr>
          <w:rFonts w:ascii="Georgia" w:eastAsia="Times New Roman" w:hAnsi="Georgia"/>
          <w:sz w:val="24"/>
          <w:szCs w:val="24"/>
          <w:lang w:val="en-ID"/>
        </w:rPr>
        <w:t xml:space="preserve">r PRISMA yang ditunjukkan pada Gambar 1. </w:t>
      </w:r>
    </w:p>
    <w:p w:rsidR="00F04AC1" w:rsidRPr="00FE6657" w:rsidRDefault="00C611E2" w:rsidP="00FE6657">
      <w:pPr>
        <w:pStyle w:val="Default"/>
        <w:spacing w:line="480" w:lineRule="auto"/>
        <w:ind w:firstLine="340"/>
        <w:jc w:val="both"/>
        <w:rPr>
          <w:rFonts w:ascii="Georgia" w:eastAsia="Times New Roman" w:hAnsi="Georgia"/>
          <w:position w:val="6"/>
          <w:lang w:val="en-ID"/>
        </w:rPr>
      </w:pPr>
      <w:r w:rsidRPr="00C611E2">
        <w:rPr>
          <w:rFonts w:ascii="Georgia" w:eastAsia="Times New Roman" w:hAnsi="Georgia"/>
          <w:lang w:val="en-ID"/>
        </w:rPr>
        <w:t xml:space="preserve">Ringkasan dari semua studi yang digunakan, termasuk penulis dan tahun, </w:t>
      </w:r>
      <w:r w:rsidR="00FE6657">
        <w:rPr>
          <w:rFonts w:ascii="Georgia" w:eastAsia="Times New Roman" w:hAnsi="Georgia"/>
          <w:lang w:val="en-ID"/>
        </w:rPr>
        <w:t>negara</w:t>
      </w:r>
      <w:r w:rsidRPr="00C611E2">
        <w:rPr>
          <w:rFonts w:ascii="Georgia" w:eastAsia="Times New Roman" w:hAnsi="Georgia"/>
          <w:lang w:val="en-ID"/>
        </w:rPr>
        <w:t xml:space="preserve">, desain studi, judul, ukuran sampel, status periodontal yang digunakan, dan kesimpulan, disajikan pada Tabel 1. Hasil dari </w:t>
      </w:r>
      <w:r w:rsidR="00FE6657">
        <w:rPr>
          <w:rFonts w:ascii="Georgia" w:eastAsia="Times New Roman" w:hAnsi="Georgia"/>
          <w:lang w:val="en-ID"/>
        </w:rPr>
        <w:t>ke</w:t>
      </w:r>
      <w:r w:rsidRPr="00C611E2">
        <w:rPr>
          <w:rFonts w:ascii="Georgia" w:eastAsia="Times New Roman" w:hAnsi="Georgia"/>
          <w:lang w:val="en-ID"/>
        </w:rPr>
        <w:t xml:space="preserve">lima </w:t>
      </w:r>
      <w:r w:rsidRPr="00C611E2">
        <w:rPr>
          <w:rFonts w:ascii="Georgia" w:eastAsia="Times New Roman" w:hAnsi="Georgia"/>
          <w:lang w:val="en-ID"/>
        </w:rPr>
        <w:lastRenderedPageBreak/>
        <w:t xml:space="preserve">penelitian yang diperoleh, tiga penelitian melaporkan nilai status periodontal yang lebih tinggi pada kelompok gangguan makan dibandingkan dengan kelompok </w:t>
      </w:r>
      <w:r w:rsidR="00E307F0">
        <w:rPr>
          <w:rFonts w:ascii="Georgia" w:eastAsia="Times New Roman" w:hAnsi="Georgia"/>
          <w:lang w:val="en-ID"/>
        </w:rPr>
        <w:t>kontrol</w:t>
      </w:r>
      <w:r w:rsidR="00E307F0">
        <w:rPr>
          <w:rFonts w:ascii="Georgia" w:eastAsia="Times New Roman" w:hAnsi="Georgia"/>
          <w:position w:val="6"/>
          <w:lang w:val="en-ID"/>
        </w:rPr>
        <w:t xml:space="preserve">. </w:t>
      </w:r>
      <w:r w:rsidRPr="00C611E2">
        <w:rPr>
          <w:rFonts w:ascii="Georgia" w:eastAsia="Times New Roman" w:hAnsi="Georgia"/>
          <w:lang w:val="en-ID"/>
        </w:rPr>
        <w:t>Sebaliknya, satu penelitian melaporkan nilai periodontal yang lebih rendah pada kelompok gangguan makan</w:t>
      </w:r>
      <w:r w:rsidR="00E307F0">
        <w:rPr>
          <w:rFonts w:ascii="Georgia" w:eastAsia="Times New Roman" w:hAnsi="Georgia"/>
          <w:lang w:val="en-ID"/>
        </w:rPr>
        <w:t>,</w:t>
      </w:r>
      <w:r w:rsidRPr="00C611E2">
        <w:rPr>
          <w:rFonts w:ascii="Georgia" w:eastAsia="Times New Roman" w:hAnsi="Georgia"/>
          <w:position w:val="6"/>
          <w:lang w:val="en-ID"/>
        </w:rPr>
        <w:t xml:space="preserve"> </w:t>
      </w:r>
      <w:r w:rsidRPr="00C611E2">
        <w:rPr>
          <w:rFonts w:ascii="Georgia" w:eastAsia="Times New Roman" w:hAnsi="Georgia"/>
          <w:lang w:val="en-ID"/>
        </w:rPr>
        <w:t>sementara satu penelitian lainnya tidak menemukan perbedaan yang bermakna antara kedua kelompok tersebut.</w:t>
      </w:r>
    </w:p>
    <w:p w:rsidR="00F04AC1" w:rsidRDefault="00F04AC1" w:rsidP="00F04AC1">
      <w:pPr>
        <w:pStyle w:val="Default"/>
        <w:spacing w:line="480" w:lineRule="auto"/>
        <w:ind w:firstLine="340"/>
        <w:jc w:val="center"/>
        <w:rPr>
          <w:rFonts w:ascii="Georgia" w:eastAsia="Times New Roman" w:hAnsi="Georgia"/>
          <w:lang w:val="en-ID"/>
        </w:rPr>
      </w:pPr>
      <w:r>
        <w:rPr>
          <w:noProof/>
        </w:rPr>
        <w:drawing>
          <wp:inline distT="0" distB="0" distL="0" distR="0" wp14:anchorId="3A2F1578" wp14:editId="3B575E9B">
            <wp:extent cx="5183349" cy="325107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774" t="1455" r="1137" b="2132"/>
                    <a:stretch/>
                  </pic:blipFill>
                  <pic:spPr bwMode="auto">
                    <a:xfrm>
                      <a:off x="0" y="0"/>
                      <a:ext cx="5244539" cy="3289458"/>
                    </a:xfrm>
                    <a:prstGeom prst="rect">
                      <a:avLst/>
                    </a:prstGeom>
                    <a:ln>
                      <a:noFill/>
                    </a:ln>
                    <a:extLst>
                      <a:ext uri="{53640926-AAD7-44D8-BBD7-CCE9431645EC}">
                        <a14:shadowObscured xmlns:a14="http://schemas.microsoft.com/office/drawing/2010/main"/>
                      </a:ext>
                    </a:extLst>
                  </pic:spPr>
                </pic:pic>
              </a:graphicData>
            </a:graphic>
          </wp:inline>
        </w:drawing>
      </w:r>
    </w:p>
    <w:p w:rsidR="00F04AC1" w:rsidRPr="00F04AC1" w:rsidRDefault="00F04AC1" w:rsidP="00F04AC1">
      <w:pPr>
        <w:pStyle w:val="Default"/>
        <w:spacing w:line="480" w:lineRule="auto"/>
        <w:ind w:firstLine="340"/>
        <w:jc w:val="center"/>
        <w:rPr>
          <w:rFonts w:ascii="Georgia" w:eastAsia="Times New Roman" w:hAnsi="Georgia"/>
          <w:b/>
          <w:bCs/>
          <w:sz w:val="20"/>
          <w:szCs w:val="20"/>
          <w:lang w:val="en-ID"/>
        </w:rPr>
      </w:pPr>
      <w:r w:rsidRPr="00F04AC1">
        <w:rPr>
          <w:rFonts w:ascii="Georgia" w:eastAsia="Times New Roman" w:hAnsi="Georgia"/>
          <w:b/>
          <w:bCs/>
          <w:sz w:val="20"/>
          <w:szCs w:val="20"/>
          <w:lang w:val="en-ID"/>
        </w:rPr>
        <w:t>Gambar 1 Diagram hasil alur PRISMA</w:t>
      </w:r>
    </w:p>
    <w:p w:rsidR="00F04AC1" w:rsidRDefault="00F04AC1" w:rsidP="00B4116C">
      <w:pPr>
        <w:spacing w:after="0" w:line="480" w:lineRule="auto"/>
        <w:jc w:val="both"/>
        <w:rPr>
          <w:rFonts w:ascii="Georgia" w:hAnsi="Georgia" w:cs="Times New Roman"/>
          <w:b/>
          <w:sz w:val="24"/>
          <w:szCs w:val="24"/>
        </w:rPr>
        <w:sectPr w:rsidR="00F04AC1" w:rsidSect="00FC36EE">
          <w:footerReference w:type="even" r:id="rId9"/>
          <w:footerReference w:type="default" r:id="rId10"/>
          <w:pgSz w:w="11906" w:h="16838"/>
          <w:pgMar w:top="2268" w:right="1701" w:bottom="1701" w:left="2268" w:header="709" w:footer="709" w:gutter="0"/>
          <w:pgNumType w:start="1"/>
          <w:cols w:space="708"/>
          <w:docGrid w:linePitch="360"/>
        </w:sectPr>
      </w:pPr>
    </w:p>
    <w:p w:rsidR="00F04AC1" w:rsidRPr="00F04AC1" w:rsidRDefault="00F04AC1" w:rsidP="00F04AC1">
      <w:pPr>
        <w:spacing w:after="0" w:line="480" w:lineRule="auto"/>
        <w:jc w:val="center"/>
        <w:rPr>
          <w:rFonts w:ascii="Georgia" w:hAnsi="Georgia" w:cs="Times New Roman"/>
          <w:b/>
          <w:sz w:val="20"/>
          <w:szCs w:val="20"/>
          <w:lang w:val="en-US"/>
        </w:rPr>
      </w:pPr>
      <w:r w:rsidRPr="00F04AC1">
        <w:rPr>
          <w:rFonts w:ascii="Georgia" w:hAnsi="Georgia" w:cs="Times New Roman"/>
          <w:b/>
          <w:sz w:val="20"/>
          <w:szCs w:val="20"/>
          <w:lang w:val="en-US"/>
        </w:rPr>
        <w:lastRenderedPageBreak/>
        <w:t>Tabel 1. Hasil Ekstraksi Data</w:t>
      </w:r>
    </w:p>
    <w:tbl>
      <w:tblPr>
        <w:tblStyle w:val="TableGrid"/>
        <w:tblpPr w:leftFromText="180" w:rightFromText="180" w:vertAnchor="text" w:tblpY="1"/>
        <w:tblOverlap w:val="never"/>
        <w:tblW w:w="1304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1"/>
        <w:gridCol w:w="56"/>
        <w:gridCol w:w="1157"/>
        <w:gridCol w:w="1111"/>
        <w:gridCol w:w="993"/>
        <w:gridCol w:w="1984"/>
        <w:gridCol w:w="2977"/>
        <w:gridCol w:w="1701"/>
        <w:gridCol w:w="2551"/>
      </w:tblGrid>
      <w:tr w:rsidR="00F04AC1" w:rsidRPr="00F04AC1" w:rsidTr="002D0DC8">
        <w:trPr>
          <w:trHeight w:val="699"/>
        </w:trPr>
        <w:tc>
          <w:tcPr>
            <w:tcW w:w="567" w:type="dxa"/>
            <w:gridSpan w:val="2"/>
            <w:vAlign w:val="center"/>
          </w:tcPr>
          <w:p w:rsidR="00F04AC1" w:rsidRPr="00F04AC1" w:rsidRDefault="00F04AC1" w:rsidP="002D0DC8">
            <w:pPr>
              <w:spacing w:line="480" w:lineRule="auto"/>
              <w:rPr>
                <w:rFonts w:ascii="Georgia" w:hAnsi="Georgia"/>
                <w:color w:val="000000" w:themeColor="text1"/>
                <w:sz w:val="20"/>
                <w:szCs w:val="20"/>
                <w:lang w:val="en-US"/>
              </w:rPr>
            </w:pPr>
            <w:r w:rsidRPr="00F04AC1">
              <w:rPr>
                <w:rFonts w:ascii="Georgia" w:hAnsi="Georgia"/>
                <w:color w:val="000000" w:themeColor="text1"/>
                <w:sz w:val="20"/>
                <w:szCs w:val="20"/>
                <w:lang w:val="en-US"/>
              </w:rPr>
              <w:t>No.</w:t>
            </w:r>
          </w:p>
        </w:tc>
        <w:tc>
          <w:tcPr>
            <w:tcW w:w="1157"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Penelit</w:t>
            </w:r>
            <w:r>
              <w:rPr>
                <w:rFonts w:ascii="Georgia" w:eastAsia="Times New Roman" w:hAnsi="Georgia" w:cs="Times New Roman"/>
                <w:color w:val="000000" w:themeColor="text1"/>
                <w:sz w:val="20"/>
                <w:szCs w:val="20"/>
                <w:lang w:val="en-US"/>
              </w:rPr>
              <w:t xml:space="preserve"> </w:t>
            </w:r>
            <w:r w:rsidRPr="00F04AC1">
              <w:rPr>
                <w:rFonts w:ascii="Georgia" w:eastAsia="Times New Roman" w:hAnsi="Georgia" w:cs="Times New Roman"/>
                <w:color w:val="000000" w:themeColor="text1"/>
                <w:sz w:val="20"/>
                <w:szCs w:val="20"/>
                <w:lang w:val="en-US"/>
              </w:rPr>
              <w:t>dan Tahun</w:t>
            </w:r>
          </w:p>
        </w:tc>
        <w:tc>
          <w:tcPr>
            <w:tcW w:w="1111"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Negara</w:t>
            </w:r>
          </w:p>
        </w:tc>
        <w:tc>
          <w:tcPr>
            <w:tcW w:w="993"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Desain Studi</w:t>
            </w:r>
          </w:p>
        </w:tc>
        <w:tc>
          <w:tcPr>
            <w:tcW w:w="1984"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Judul</w:t>
            </w:r>
          </w:p>
        </w:tc>
        <w:tc>
          <w:tcPr>
            <w:tcW w:w="2977"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Besar Sampel</w:t>
            </w:r>
          </w:p>
        </w:tc>
        <w:tc>
          <w:tcPr>
            <w:tcW w:w="1701"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Status Periodontal</w:t>
            </w:r>
          </w:p>
        </w:tc>
        <w:tc>
          <w:tcPr>
            <w:tcW w:w="2551" w:type="dxa"/>
            <w:vAlign w:val="center"/>
          </w:tcPr>
          <w:p w:rsidR="00F04AC1" w:rsidRPr="00F04AC1" w:rsidRDefault="00F04AC1" w:rsidP="002D0DC8">
            <w:pPr>
              <w:pStyle w:val="ListParagraph"/>
              <w:spacing w:line="480" w:lineRule="auto"/>
              <w:ind w:left="0"/>
              <w:jc w:val="center"/>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Kesimpulan</w:t>
            </w:r>
          </w:p>
        </w:tc>
      </w:tr>
      <w:tr w:rsidR="00F04AC1" w:rsidRPr="00F04AC1" w:rsidTr="002D0DC8">
        <w:trPr>
          <w:trHeight w:val="451"/>
        </w:trPr>
        <w:tc>
          <w:tcPr>
            <w:tcW w:w="511" w:type="dxa"/>
          </w:tcPr>
          <w:p w:rsidR="00F04AC1" w:rsidRPr="00F04AC1" w:rsidRDefault="00F04AC1" w:rsidP="002D0DC8">
            <w:pPr>
              <w:tabs>
                <w:tab w:val="left" w:pos="452"/>
              </w:tabs>
              <w:spacing w:line="480" w:lineRule="auto"/>
              <w:jc w:val="center"/>
              <w:rPr>
                <w:rFonts w:ascii="Georgia" w:hAnsi="Georgia"/>
                <w:color w:val="000000" w:themeColor="text1"/>
                <w:sz w:val="20"/>
                <w:szCs w:val="20"/>
                <w:lang w:val="en-US"/>
              </w:rPr>
            </w:pPr>
            <w:r w:rsidRPr="00F04AC1">
              <w:rPr>
                <w:rFonts w:ascii="Georgia" w:hAnsi="Georgia"/>
                <w:color w:val="000000" w:themeColor="text1"/>
                <w:sz w:val="20"/>
                <w:szCs w:val="20"/>
                <w:lang w:val="en-US"/>
              </w:rPr>
              <w:t xml:space="preserve">1. </w:t>
            </w:r>
          </w:p>
        </w:tc>
        <w:tc>
          <w:tcPr>
            <w:tcW w:w="1213" w:type="dxa"/>
            <w:gridSpan w:val="2"/>
          </w:tcPr>
          <w:p w:rsidR="00F04AC1" w:rsidRPr="00F04AC1" w:rsidRDefault="00F04AC1" w:rsidP="002D0DC8">
            <w:pPr>
              <w:pStyle w:val="ListParagraph"/>
              <w:spacing w:line="480" w:lineRule="auto"/>
              <w:ind w:left="0"/>
              <w:rPr>
                <w:rFonts w:ascii="Georgia" w:hAnsi="Georgia" w:cs="Times New Roman"/>
                <w:color w:val="000000" w:themeColor="text1"/>
                <w:sz w:val="20"/>
                <w:szCs w:val="20"/>
                <w:shd w:val="clear" w:color="auto" w:fill="FFFFFF"/>
              </w:rPr>
            </w:pPr>
            <w:r w:rsidRPr="00F04AC1">
              <w:rPr>
                <w:rFonts w:ascii="Georgia" w:hAnsi="Georgia" w:cs="Times New Roman"/>
                <w:color w:val="000000" w:themeColor="text1"/>
                <w:sz w:val="20"/>
                <w:szCs w:val="20"/>
                <w:shd w:val="clear" w:color="auto" w:fill="FFFFFF"/>
              </w:rPr>
              <w:t>Johansson AK dkk. (2012)</w:t>
            </w:r>
            <w:r w:rsidR="00E307F0">
              <w:rPr>
                <w:rFonts w:ascii="Georgia" w:hAnsi="Georgia" w:cs="Times New Roman"/>
                <w:color w:val="000000" w:themeColor="text1"/>
                <w:sz w:val="20"/>
                <w:szCs w:val="20"/>
                <w:shd w:val="clear" w:color="auto" w:fill="FFFFFF"/>
              </w:rPr>
              <w:fldChar w:fldCharType="begin" w:fldLock="1"/>
            </w:r>
            <w:r w:rsidR="00E307F0">
              <w:rPr>
                <w:rFonts w:ascii="Georgia" w:hAnsi="Georgia" w:cs="Times New Roman"/>
                <w:color w:val="000000" w:themeColor="text1"/>
                <w:sz w:val="20"/>
                <w:szCs w:val="20"/>
                <w:shd w:val="clear" w:color="auto" w:fill="FFFFFF"/>
              </w:rPr>
              <w:instrText>ADDIN CSL_CITATION {"citationItems":[{"id":"ITEM-1","itemData":{"DOI":"10.1111/j.1600-0722.2011.00922.x","ISSN":"09098836","PMID":"22288922","abstract":"The aim was to compare the oral health status of patients with eating disorders (EDs), with sex- and age-matched controls, with a view to identify self-reported and clinical parameters that might alert the dental healthcare professional to the possibility of EDs. All patients who entered outpatient treatment in an ED clinic during a 12-month period were invited to participate. Of 65 ED patients who started psychiatric/medical treatment, 54 agreed to participate. Eating disorder patients and controls answered a questionnaire and underwent dental clinical examinations. Multivariate analysis identified significantly higher ORs for ED patients to present dental problems (OR=4.1), burning tongue (OR=14.2), dry/cracked lips (OR=9.6), dental erosion (OR=8.5), and less gingival bleeding (OR=1.1) compared with healthy controls. Sensitivity and specificity for the correct classification of ED patients and controls using the five variables was 83% and 79%, respectively. The ED patients with vomiting/binge eating behaviors reported worse perceived oral health (OR=6.0) and had more dental erosion (OR=5.5) than those without such behavior. In ED patients with longer duration of the disease, dental erosion was significantly more common. In conclusion, oral health problems frequently affect ED patients, and this needs to be considered in patient assessment and treatment decisions. © 2012 Eur J Oral Sci.","author":[{"dropping-particle":"","family":"Johansson","given":"Ann Katrin","non-dropping-particle":"","parse-names":false,"suffix":""},{"dropping-particle":"","family":"Norring","given":"Claes","non-dropping-particle":"","parse-names":false,"suffix":""},{"dropping-particle":"","family":"Unell","given":"Lennart","non-dropping-particle":"","parse-names":false,"suffix":""},{"dropping-particle":"","family":"Johansson","given":"Anders","non-dropping-particle":"","parse-names":false,"suffix":""}],"container-title":"European Journal of Oral Sciences","id":"ITEM-1","issue":"1","issued":{"date-parts":[["2012"]]},"page":"61-68","title":"Eating disorders and oral health: A matched case-control study","type":"article-journal","volume":"120"},"uris":["http://www.mendeley.com/documents/?uuid=dc0c8958-d72a-4d46-b7d3-911ebefea98f"]}],"mendeley":{"formattedCitation":"&lt;sup&gt;19&lt;/sup&gt;","plainTextFormattedCitation":"19","previouslyFormattedCitation":"&lt;sup&gt;19&lt;/sup&gt;"},"properties":{"noteIndex":0},"schema":"https://github.com/citation-style-language/schema/raw/master/csl-citation.json"}</w:instrText>
            </w:r>
            <w:r w:rsidR="00E307F0">
              <w:rPr>
                <w:rFonts w:ascii="Georgia" w:hAnsi="Georgia" w:cs="Times New Roman"/>
                <w:color w:val="000000" w:themeColor="text1"/>
                <w:sz w:val="20"/>
                <w:szCs w:val="20"/>
                <w:shd w:val="clear" w:color="auto" w:fill="FFFFFF"/>
              </w:rPr>
              <w:fldChar w:fldCharType="separate"/>
            </w:r>
            <w:r w:rsidR="00E307F0" w:rsidRPr="00E307F0">
              <w:rPr>
                <w:rFonts w:ascii="Georgia" w:hAnsi="Georgia" w:cs="Times New Roman"/>
                <w:noProof/>
                <w:color w:val="000000" w:themeColor="text1"/>
                <w:sz w:val="20"/>
                <w:szCs w:val="20"/>
                <w:shd w:val="clear" w:color="auto" w:fill="FFFFFF"/>
                <w:vertAlign w:val="superscript"/>
              </w:rPr>
              <w:t>19</w:t>
            </w:r>
            <w:r w:rsidR="00E307F0">
              <w:rPr>
                <w:rFonts w:ascii="Georgia" w:hAnsi="Georgia" w:cs="Times New Roman"/>
                <w:color w:val="000000" w:themeColor="text1"/>
                <w:sz w:val="20"/>
                <w:szCs w:val="20"/>
                <w:shd w:val="clear" w:color="auto" w:fill="FFFFFF"/>
              </w:rPr>
              <w:fldChar w:fldCharType="end"/>
            </w:r>
            <w:r w:rsidR="00E307F0" w:rsidRPr="00F04AC1">
              <w:rPr>
                <w:rFonts w:ascii="Georgia" w:hAnsi="Georgia" w:cs="Times New Roman"/>
                <w:color w:val="000000" w:themeColor="text1"/>
                <w:sz w:val="20"/>
                <w:szCs w:val="20"/>
                <w:shd w:val="clear" w:color="auto" w:fill="FFFFFF"/>
              </w:rPr>
              <w:t xml:space="preserve"> </w:t>
            </w:r>
          </w:p>
        </w:tc>
        <w:tc>
          <w:tcPr>
            <w:tcW w:w="1111"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color w:val="000000" w:themeColor="text1"/>
                <w:sz w:val="20"/>
                <w:szCs w:val="20"/>
                <w:lang w:val="en-US"/>
              </w:rPr>
              <w:t>Norwegia</w:t>
            </w:r>
          </w:p>
        </w:tc>
        <w:tc>
          <w:tcPr>
            <w:tcW w:w="993" w:type="dxa"/>
          </w:tcPr>
          <w:p w:rsidR="00F04AC1" w:rsidRPr="00F04AC1" w:rsidRDefault="00F04AC1" w:rsidP="002D0DC8">
            <w:pPr>
              <w:pStyle w:val="ListParagraph"/>
              <w:spacing w:line="480" w:lineRule="auto"/>
              <w:ind w:left="0"/>
              <w:rPr>
                <w:rFonts w:ascii="Georgia" w:hAnsi="Georgia" w:cs="Times New Roman"/>
                <w:color w:val="000000" w:themeColor="text1"/>
                <w:sz w:val="20"/>
                <w:szCs w:val="20"/>
                <w:shd w:val="clear" w:color="auto" w:fill="FFFFFF"/>
              </w:rPr>
            </w:pPr>
            <w:r w:rsidRPr="00F04AC1">
              <w:rPr>
                <w:rFonts w:ascii="Georgia" w:hAnsi="Georgia" w:cs="Times New Roman"/>
                <w:color w:val="000000" w:themeColor="text1"/>
                <w:sz w:val="20"/>
                <w:szCs w:val="20"/>
                <w:shd w:val="clear" w:color="auto" w:fill="FFFFFF"/>
              </w:rPr>
              <w:t>Kasus kontrol</w:t>
            </w:r>
          </w:p>
        </w:tc>
        <w:tc>
          <w:tcPr>
            <w:tcW w:w="1984" w:type="dxa"/>
          </w:tcPr>
          <w:p w:rsidR="00F04AC1" w:rsidRPr="00F04AC1" w:rsidRDefault="00F04AC1" w:rsidP="002D0DC8">
            <w:pPr>
              <w:pStyle w:val="ListParagraph"/>
              <w:spacing w:line="480" w:lineRule="auto"/>
              <w:ind w:left="0"/>
              <w:rPr>
                <w:rFonts w:ascii="Georgia" w:hAnsi="Georgia" w:cs="Times New Roman"/>
                <w:i/>
                <w:iCs/>
                <w:color w:val="000000" w:themeColor="text1"/>
                <w:sz w:val="20"/>
                <w:szCs w:val="20"/>
                <w:shd w:val="clear" w:color="auto" w:fill="FFFFFF"/>
              </w:rPr>
            </w:pPr>
            <w:r w:rsidRPr="00F04AC1">
              <w:rPr>
                <w:rFonts w:ascii="Georgia" w:hAnsi="Georgia" w:cs="Times New Roman"/>
                <w:i/>
                <w:iCs/>
                <w:color w:val="000000" w:themeColor="text1"/>
                <w:sz w:val="20"/>
                <w:szCs w:val="20"/>
                <w:shd w:val="clear" w:color="auto" w:fill="FFFFFF"/>
              </w:rPr>
              <w:t>Eating disorders and oral health: a matched case–control study</w:t>
            </w:r>
          </w:p>
        </w:tc>
        <w:tc>
          <w:tcPr>
            <w:tcW w:w="2977" w:type="dxa"/>
          </w:tcPr>
          <w:p w:rsidR="00F04AC1" w:rsidRPr="00F04AC1" w:rsidRDefault="00F04AC1" w:rsidP="002D0DC8">
            <w:pPr>
              <w:spacing w:line="480" w:lineRule="auto"/>
              <w:rPr>
                <w:rFonts w:ascii="Georgia" w:hAnsi="Georgia"/>
                <w:color w:val="000000" w:themeColor="text1"/>
                <w:sz w:val="20"/>
                <w:szCs w:val="20"/>
                <w:lang w:val="en-US"/>
              </w:rPr>
            </w:pPr>
            <w:r w:rsidRPr="00F04AC1">
              <w:rPr>
                <w:rFonts w:ascii="Georgia" w:hAnsi="Georgia"/>
                <w:color w:val="000000" w:themeColor="text1"/>
                <w:sz w:val="20"/>
                <w:szCs w:val="20"/>
                <w:lang w:val="en-US"/>
              </w:rPr>
              <w:t>n = 108</w:t>
            </w:r>
          </w:p>
          <w:p w:rsidR="00F04AC1" w:rsidRPr="00F04AC1" w:rsidRDefault="00F04AC1" w:rsidP="002D0DC8">
            <w:pPr>
              <w:spacing w:line="480" w:lineRule="auto"/>
              <w:rPr>
                <w:rFonts w:ascii="Georgia" w:hAnsi="Georgia"/>
                <w:color w:val="000000" w:themeColor="text1"/>
                <w:sz w:val="20"/>
                <w:szCs w:val="20"/>
                <w:lang w:val="en-US"/>
              </w:rPr>
            </w:pPr>
            <w:r w:rsidRPr="00F04AC1">
              <w:rPr>
                <w:rFonts w:ascii="Georgia" w:hAnsi="Georgia"/>
                <w:color w:val="000000" w:themeColor="text1"/>
                <w:sz w:val="20"/>
                <w:szCs w:val="20"/>
                <w:lang w:val="en-US"/>
              </w:rPr>
              <w:t xml:space="preserve">54 pasien rawat jalan (50 wanita dan 4 laki-laki), 14 dengan AN, 8 dengan BN, dan 32 dengan </w:t>
            </w:r>
            <w:r w:rsidRPr="00F04AC1">
              <w:rPr>
                <w:rFonts w:ascii="Georgia" w:hAnsi="Georgia"/>
                <w:i/>
                <w:iCs/>
                <w:color w:val="000000" w:themeColor="text1"/>
                <w:sz w:val="20"/>
                <w:szCs w:val="20"/>
                <w:lang w:val="en-US"/>
              </w:rPr>
              <w:t>eating disorders not otherwise specified</w:t>
            </w:r>
            <w:r w:rsidRPr="00F04AC1">
              <w:rPr>
                <w:rFonts w:ascii="Georgia" w:hAnsi="Georgia"/>
                <w:color w:val="000000" w:themeColor="text1"/>
                <w:sz w:val="20"/>
                <w:szCs w:val="20"/>
                <w:lang w:val="en-US"/>
              </w:rPr>
              <w:t xml:space="preserve"> (EDNOS). Usia rata-rata 21,5 tahun (kisaran 10-50 tahun) </w:t>
            </w:r>
          </w:p>
          <w:p w:rsidR="00F04AC1" w:rsidRPr="00F04AC1" w:rsidRDefault="00F04AC1" w:rsidP="002D0DC8">
            <w:pPr>
              <w:spacing w:line="480" w:lineRule="auto"/>
              <w:rPr>
                <w:rFonts w:ascii="Georgia" w:hAnsi="Georgia"/>
                <w:color w:val="000000" w:themeColor="text1"/>
                <w:sz w:val="20"/>
                <w:szCs w:val="20"/>
                <w:lang w:val="en-US"/>
              </w:rPr>
            </w:pPr>
            <w:r w:rsidRPr="00F04AC1">
              <w:rPr>
                <w:rFonts w:ascii="Georgia" w:hAnsi="Georgia"/>
                <w:color w:val="000000" w:themeColor="text1"/>
                <w:sz w:val="20"/>
                <w:szCs w:val="20"/>
                <w:lang w:val="en-US"/>
              </w:rPr>
              <w:t xml:space="preserve">54 sebagai </w:t>
            </w:r>
            <w:proofErr w:type="gramStart"/>
            <w:r w:rsidRPr="00F04AC1">
              <w:rPr>
                <w:rFonts w:ascii="Georgia" w:hAnsi="Georgia"/>
                <w:color w:val="000000" w:themeColor="text1"/>
                <w:sz w:val="20"/>
                <w:szCs w:val="20"/>
                <w:lang w:val="en-US"/>
              </w:rPr>
              <w:t>kontrol :</w:t>
            </w:r>
            <w:proofErr w:type="gramEnd"/>
            <w:r w:rsidRPr="00F04AC1">
              <w:rPr>
                <w:rFonts w:ascii="Georgia" w:hAnsi="Georgia"/>
                <w:color w:val="000000" w:themeColor="text1"/>
                <w:sz w:val="20"/>
                <w:szCs w:val="20"/>
                <w:lang w:val="en-US"/>
              </w:rPr>
              <w:t xml:space="preserve"> jenis kelamin dan usia yang sesuai tanpa risiko gangguan makan.</w:t>
            </w:r>
          </w:p>
        </w:tc>
        <w:tc>
          <w:tcPr>
            <w:tcW w:w="1701"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i/>
                <w:iCs/>
                <w:color w:val="000000" w:themeColor="text1"/>
                <w:sz w:val="20"/>
                <w:szCs w:val="20"/>
                <w:lang w:val="en-US"/>
              </w:rPr>
              <w:t xml:space="preserve">Gingival Bleeding Index </w:t>
            </w:r>
            <w:r w:rsidRPr="00F04AC1">
              <w:rPr>
                <w:rFonts w:ascii="Georgia" w:eastAsia="Times New Roman" w:hAnsi="Georgia" w:cs="Times New Roman"/>
                <w:color w:val="000000" w:themeColor="text1"/>
                <w:sz w:val="20"/>
                <w:szCs w:val="20"/>
                <w:lang w:val="en-US"/>
              </w:rPr>
              <w:t>(GBI)</w:t>
            </w:r>
          </w:p>
        </w:tc>
        <w:tc>
          <w:tcPr>
            <w:tcW w:w="2551" w:type="dxa"/>
          </w:tcPr>
          <w:p w:rsidR="00F04AC1" w:rsidRPr="00F04AC1" w:rsidRDefault="00F04AC1" w:rsidP="002D0DC8">
            <w:pPr>
              <w:pStyle w:val="NormalWeb"/>
              <w:spacing w:line="480" w:lineRule="auto"/>
              <w:rPr>
                <w:rFonts w:ascii="Georgia" w:hAnsi="Georgia"/>
                <w:color w:val="000000" w:themeColor="text1"/>
                <w:sz w:val="20"/>
                <w:szCs w:val="20"/>
              </w:rPr>
            </w:pPr>
            <w:r w:rsidRPr="00F04AC1">
              <w:rPr>
                <w:rFonts w:ascii="Georgia" w:hAnsi="Georgia"/>
                <w:color w:val="000000" w:themeColor="text1"/>
                <w:sz w:val="20"/>
                <w:szCs w:val="20"/>
              </w:rPr>
              <w:t>GBI secara signifikan lebih rendah pada pasien gangguan makan.</w:t>
            </w:r>
          </w:p>
        </w:tc>
      </w:tr>
      <w:tr w:rsidR="00F04AC1" w:rsidRPr="00F04AC1" w:rsidTr="002D0DC8">
        <w:trPr>
          <w:trHeight w:val="451"/>
        </w:trPr>
        <w:tc>
          <w:tcPr>
            <w:tcW w:w="511" w:type="dxa"/>
          </w:tcPr>
          <w:p w:rsidR="00F04AC1" w:rsidRPr="00F04AC1" w:rsidRDefault="00F04AC1" w:rsidP="002D0DC8">
            <w:pPr>
              <w:tabs>
                <w:tab w:val="left" w:pos="452"/>
              </w:tabs>
              <w:spacing w:line="480" w:lineRule="auto"/>
              <w:jc w:val="center"/>
              <w:rPr>
                <w:rFonts w:ascii="Georgia" w:hAnsi="Georgia"/>
                <w:sz w:val="20"/>
                <w:szCs w:val="20"/>
                <w:lang w:val="en-US"/>
              </w:rPr>
            </w:pPr>
            <w:r w:rsidRPr="00F04AC1">
              <w:rPr>
                <w:rFonts w:ascii="Georgia" w:hAnsi="Georgia"/>
                <w:sz w:val="20"/>
                <w:szCs w:val="20"/>
                <w:lang w:val="en-US"/>
              </w:rPr>
              <w:lastRenderedPageBreak/>
              <w:t>2.</w:t>
            </w:r>
          </w:p>
        </w:tc>
        <w:tc>
          <w:tcPr>
            <w:tcW w:w="1213" w:type="dxa"/>
            <w:gridSpan w:val="2"/>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hAnsi="Georgia" w:cs="Times New Roman"/>
                <w:color w:val="212121"/>
                <w:sz w:val="20"/>
                <w:szCs w:val="20"/>
                <w:shd w:val="clear" w:color="auto" w:fill="FFFFFF"/>
              </w:rPr>
              <w:t>Chiba FY dkk. (2019)</w:t>
            </w:r>
            <w:r w:rsidR="00E307F0">
              <w:rPr>
                <w:rFonts w:ascii="Georgia" w:hAnsi="Georgia" w:cs="Times New Roman"/>
                <w:color w:val="212121"/>
                <w:sz w:val="20"/>
                <w:szCs w:val="20"/>
                <w:shd w:val="clear" w:color="auto" w:fill="FFFFFF"/>
              </w:rPr>
              <w:fldChar w:fldCharType="begin" w:fldLock="1"/>
            </w:r>
            <w:r w:rsidR="00E307F0">
              <w:rPr>
                <w:rFonts w:ascii="Georgia" w:hAnsi="Georgia" w:cs="Times New Roman"/>
                <w:color w:val="212121"/>
                <w:sz w:val="20"/>
                <w:szCs w:val="20"/>
                <w:shd w:val="clear" w:color="auto" w:fill="FFFFFF"/>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E307F0">
              <w:rPr>
                <w:rFonts w:ascii="Georgia" w:hAnsi="Georgia" w:cs="Times New Roman"/>
                <w:color w:val="212121"/>
                <w:sz w:val="20"/>
                <w:szCs w:val="20"/>
                <w:shd w:val="clear" w:color="auto" w:fill="FFFFFF"/>
              </w:rPr>
              <w:fldChar w:fldCharType="separate"/>
            </w:r>
            <w:r w:rsidR="00E307F0" w:rsidRPr="00E307F0">
              <w:rPr>
                <w:rFonts w:ascii="Georgia" w:hAnsi="Georgia" w:cs="Times New Roman"/>
                <w:noProof/>
                <w:color w:val="212121"/>
                <w:sz w:val="20"/>
                <w:szCs w:val="20"/>
                <w:shd w:val="clear" w:color="auto" w:fill="FFFFFF"/>
                <w:vertAlign w:val="superscript"/>
              </w:rPr>
              <w:t>18</w:t>
            </w:r>
            <w:r w:rsidR="00E307F0">
              <w:rPr>
                <w:rFonts w:ascii="Georgia" w:hAnsi="Georgia" w:cs="Times New Roman"/>
                <w:color w:val="212121"/>
                <w:sz w:val="20"/>
                <w:szCs w:val="20"/>
                <w:shd w:val="clear" w:color="auto" w:fill="FFFFFF"/>
              </w:rPr>
              <w:fldChar w:fldCharType="end"/>
            </w:r>
            <w:r w:rsidR="00E307F0" w:rsidRPr="00F04AC1">
              <w:rPr>
                <w:rFonts w:ascii="Georgia" w:eastAsia="Times New Roman" w:hAnsi="Georgia" w:cs="Times New Roman"/>
                <w:sz w:val="20"/>
                <w:szCs w:val="20"/>
                <w:lang w:val="en-US"/>
              </w:rPr>
              <w:t xml:space="preserve"> </w:t>
            </w:r>
          </w:p>
        </w:tc>
        <w:tc>
          <w:tcPr>
            <w:tcW w:w="1111"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Brazil</w:t>
            </w:r>
          </w:p>
        </w:tc>
        <w:tc>
          <w:tcPr>
            <w:tcW w:w="993" w:type="dxa"/>
          </w:tcPr>
          <w:p w:rsidR="00F04AC1" w:rsidRPr="00F04AC1" w:rsidRDefault="00F04AC1" w:rsidP="002D0DC8">
            <w:pPr>
              <w:pStyle w:val="ListParagraph"/>
              <w:spacing w:line="480" w:lineRule="auto"/>
              <w:ind w:left="0"/>
              <w:rPr>
                <w:rFonts w:ascii="Georgia" w:hAnsi="Georgia" w:cs="Times New Roman"/>
                <w:color w:val="212121"/>
                <w:sz w:val="20"/>
                <w:szCs w:val="20"/>
                <w:shd w:val="clear" w:color="auto" w:fill="FFFFFF"/>
              </w:rPr>
            </w:pPr>
            <w:r w:rsidRPr="00F04AC1">
              <w:rPr>
                <w:rFonts w:ascii="Georgia" w:hAnsi="Georgia" w:cs="Times New Roman"/>
                <w:color w:val="212121"/>
                <w:sz w:val="20"/>
                <w:szCs w:val="20"/>
                <w:shd w:val="clear" w:color="auto" w:fill="FFFFFF"/>
              </w:rPr>
              <w:t>Potong silang</w:t>
            </w:r>
          </w:p>
        </w:tc>
        <w:tc>
          <w:tcPr>
            <w:tcW w:w="1984" w:type="dxa"/>
          </w:tcPr>
          <w:p w:rsidR="00F04AC1" w:rsidRPr="00F04AC1" w:rsidRDefault="00F04AC1" w:rsidP="002D0DC8">
            <w:pPr>
              <w:pStyle w:val="ListParagraph"/>
              <w:spacing w:line="480" w:lineRule="auto"/>
              <w:ind w:left="0"/>
              <w:rPr>
                <w:rFonts w:ascii="Georgia" w:eastAsia="Times New Roman" w:hAnsi="Georgia" w:cs="Times New Roman"/>
                <w:i/>
                <w:iCs/>
                <w:sz w:val="20"/>
                <w:szCs w:val="20"/>
                <w:lang w:val="en-US"/>
              </w:rPr>
            </w:pPr>
            <w:r w:rsidRPr="00F04AC1">
              <w:rPr>
                <w:rFonts w:ascii="Georgia" w:hAnsi="Georgia" w:cs="Times New Roman"/>
                <w:i/>
                <w:iCs/>
                <w:color w:val="212121"/>
                <w:sz w:val="20"/>
                <w:szCs w:val="20"/>
                <w:shd w:val="clear" w:color="auto" w:fill="FFFFFF"/>
              </w:rPr>
              <w:t>Periodontal condition, changes in salivary biochemical parameters, and oral health-related quality of life in patients with anorexia and bulimia nervosa.</w:t>
            </w:r>
          </w:p>
        </w:tc>
        <w:tc>
          <w:tcPr>
            <w:tcW w:w="2977"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 xml:space="preserve">n = 60 </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 xml:space="preserve">30 </w:t>
            </w:r>
            <w:r w:rsidR="00A37C8B">
              <w:rPr>
                <w:rFonts w:ascii="Georgia" w:eastAsia="Times New Roman" w:hAnsi="Georgia" w:cs="Times New Roman"/>
                <w:sz w:val="20"/>
                <w:szCs w:val="20"/>
                <w:lang w:val="en-US"/>
              </w:rPr>
              <w:t>pasien</w:t>
            </w:r>
            <w:r w:rsidRPr="00F04AC1">
              <w:rPr>
                <w:rFonts w:ascii="Georgia" w:eastAsia="Times New Roman" w:hAnsi="Georgia" w:cs="Times New Roman"/>
                <w:sz w:val="20"/>
                <w:szCs w:val="20"/>
                <w:lang w:val="en-US"/>
              </w:rPr>
              <w:t xml:space="preserve"> dengan AN dan BN. Usia rata-rata pasien adalah 31,13 ± 12,72 tahun.</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30 individu sebagai kontrol (kelompok kontrol). Usia rata-rata pasien adalah 28,93 ± 9,77 tahun.</w:t>
            </w:r>
          </w:p>
        </w:tc>
        <w:tc>
          <w:tcPr>
            <w:tcW w:w="1701"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i/>
                <w:iCs/>
                <w:sz w:val="20"/>
                <w:szCs w:val="20"/>
                <w:lang w:val="en-US"/>
              </w:rPr>
              <w:t xml:space="preserve">Community Periodontal Index </w:t>
            </w:r>
            <w:r w:rsidRPr="00F04AC1">
              <w:rPr>
                <w:rFonts w:ascii="Georgia" w:eastAsia="Times New Roman" w:hAnsi="Georgia" w:cs="Times New Roman"/>
                <w:sz w:val="20"/>
                <w:szCs w:val="20"/>
                <w:lang w:val="en-US"/>
              </w:rPr>
              <w:t>(CPI)</w:t>
            </w:r>
          </w:p>
          <w:p w:rsidR="00F04AC1" w:rsidRPr="00F04AC1" w:rsidRDefault="00F04AC1" w:rsidP="002D0DC8">
            <w:pPr>
              <w:pStyle w:val="ListParagraph"/>
              <w:spacing w:line="480" w:lineRule="auto"/>
              <w:ind w:left="0"/>
              <w:rPr>
                <w:rFonts w:ascii="Georgia" w:eastAsia="Times New Roman" w:hAnsi="Georgia" w:cs="Times New Roman"/>
                <w:i/>
                <w:iCs/>
                <w:sz w:val="20"/>
                <w:szCs w:val="20"/>
                <w:lang w:val="en-US"/>
              </w:rPr>
            </w:pPr>
          </w:p>
        </w:tc>
        <w:tc>
          <w:tcPr>
            <w:tcW w:w="2551"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Pasien dengan AN dan BN memiliki kondisi periodontal yang lebih buruk.</w:t>
            </w:r>
          </w:p>
        </w:tc>
      </w:tr>
      <w:tr w:rsidR="00F04AC1" w:rsidRPr="00F04AC1" w:rsidTr="002D0DC8">
        <w:trPr>
          <w:trHeight w:val="451"/>
        </w:trPr>
        <w:tc>
          <w:tcPr>
            <w:tcW w:w="511" w:type="dxa"/>
          </w:tcPr>
          <w:p w:rsidR="00F04AC1" w:rsidRPr="00F04AC1" w:rsidRDefault="00F04AC1" w:rsidP="002D0DC8">
            <w:pPr>
              <w:tabs>
                <w:tab w:val="left" w:pos="452"/>
              </w:tabs>
              <w:spacing w:line="480" w:lineRule="auto"/>
              <w:jc w:val="center"/>
              <w:rPr>
                <w:rFonts w:ascii="Georgia" w:hAnsi="Georgia"/>
                <w:color w:val="000000" w:themeColor="text1"/>
                <w:sz w:val="20"/>
                <w:szCs w:val="20"/>
                <w:lang w:val="en-US"/>
              </w:rPr>
            </w:pPr>
            <w:r w:rsidRPr="00F04AC1">
              <w:rPr>
                <w:rFonts w:ascii="Georgia" w:hAnsi="Georgia"/>
                <w:sz w:val="20"/>
                <w:szCs w:val="20"/>
                <w:lang w:val="en-US"/>
              </w:rPr>
              <w:t>3.</w:t>
            </w:r>
          </w:p>
        </w:tc>
        <w:tc>
          <w:tcPr>
            <w:tcW w:w="1213" w:type="dxa"/>
            <w:gridSpan w:val="2"/>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hAnsi="Georgia" w:cs="Times New Roman"/>
                <w:sz w:val="20"/>
                <w:szCs w:val="20"/>
              </w:rPr>
              <w:t>Garrido-Martínez P dkk. (2019)</w:t>
            </w:r>
            <w:r w:rsidR="00E307F0">
              <w:rPr>
                <w:rFonts w:ascii="Georgia" w:hAnsi="Georgia" w:cs="Times New Roman"/>
                <w:sz w:val="20"/>
                <w:szCs w:val="20"/>
              </w:rPr>
              <w:fldChar w:fldCharType="begin" w:fldLock="1"/>
            </w:r>
            <w:r w:rsidR="00E307F0">
              <w:rPr>
                <w:rFonts w:ascii="Georgia" w:hAnsi="Georgia" w:cs="Times New Roman"/>
                <w:sz w:val="20"/>
                <w:szCs w:val="20"/>
              </w:rPr>
              <w:instrText>ADDIN CSL_CITATION {"citationItems":[{"id":"ITEM-1","itemData":{"DOI":"10.4317/medoral.23010","ISSN":"16986946","PMID":"31433394","abstract":"Background: The aim of the present study was to describe and compare the oral and dental health status of two groups, one diagnosed with eating disorders (EDs), and another group without this pathology, assessing the following oral manifestations: dental alterations, periodontal disorders, soft tissue disorders, non-stimulated salivary flow, and oral pH. Material and Methods: This comparative transversal epidemiological study included 179 participants, of whom 59 were diagnosed with EDs (Eating Disorder Group: EDG) and 120 had no antecedents of EDs (No Eating Disorder Group: NEDG). All patients fulfilled the following inclusion criteria: women aged over 18 years, diagnosed with an ED by a specialist, patients who had undergone at least 1 year monitoring by the Clinical Nutrition Unit, and had not received any periodontal treatment during the previous 6 months. Both groups were homogeneous in terms of sex, age, education, and socioeconomic level. Oral exploration was performed, registering clinical variables, as well as sociodemographic and socioeconomic data, oral hygiene habits, and smoking. Statistical significance was established as p&lt;0.05 (confidence level &gt; 95%). Results: The dental erosion (DE) was the most significative feature of dental alterations. The degree of DE was significantly greater in the EDG (p&lt;0.001). A significant association between soft tissue lesions and EDs was found (p&lt;0.001) A notable difference in non-stimulated salivary flow was found between the groups (p&lt;0.001). No significant differences between the groups were found for periodontal status, dental caries, or oral hygiene practices. Conclusions: On the basis of the results obtained, it is necessary to carry out oral/dental examination as soon as an ED is diagnosed with regular check-ups thereafter.","author":[{"dropping-particle":"","family":"Garrido-Martínez","given":"Pablo","non-dropping-particle":"","parse-names":false,"suffix":""},{"dropping-particle":"","family":"Domínguez-Gordillo","given":"Adelaida","non-dropping-particle":"","parse-names":false,"suffix":""},{"dropping-particle":"","family":"Cerero-Lapiedra","given":"Rocío","non-dropping-particle":"","parse-names":false,"suffix":""},{"dropping-particle":"","family":"Bur-Gueño-García","given":"Miguel","non-dropping-particle":"","parse-names":false,"suffix":""},{"dropping-particle":"","family":"Martínez-Ramírez","given":"María José","non-dropping-particle":"","parse-names":false,"suffix":""},{"dropping-particle":"","family":"Gómez-Candela","given":"Carmen","non-dropping-particle":"","parse-names":false,"suffix":""},{"dropping-particle":"","family":"Cebrián-Carretero","given":"José Luis","non-dropping-particle":"","parse-names":false,"suffix":""},{"dropping-particle":"","family":"Esparza-Gómez","given":"Germán","non-dropping-particle":"","parse-names":false,"suffix":""}],"container-title":"Medicina Oral Patologia Oral y Cirugia Bucal","id":"ITEM-1","issue":"5","issued":{"date-parts":[["2019"]]},"page":"e595-e602","title":"Oral and dental health status in patients with eating disorders in Madrid, Spain","type":"article-journal","volume":"24"},"uris":["http://www.mendeley.com/documents/?uuid=ab0d4247-4323-4118-82ad-7b2015dd52dc"]}],"mendeley":{"formattedCitation":"&lt;sup&gt;20&lt;/sup&gt;","plainTextFormattedCitation":"20","previouslyFormattedCitation":"&lt;sup&gt;20&lt;/sup&gt;"},"properties":{"noteIndex":0},"schema":"https://github.com/citation-style-language/schema/raw/master/csl-citation.json"}</w:instrText>
            </w:r>
            <w:r w:rsidR="00E307F0">
              <w:rPr>
                <w:rFonts w:ascii="Georgia" w:hAnsi="Georgia" w:cs="Times New Roman"/>
                <w:sz w:val="20"/>
                <w:szCs w:val="20"/>
              </w:rPr>
              <w:fldChar w:fldCharType="separate"/>
            </w:r>
            <w:r w:rsidR="00E307F0" w:rsidRPr="00E307F0">
              <w:rPr>
                <w:rFonts w:ascii="Georgia" w:hAnsi="Georgia" w:cs="Times New Roman"/>
                <w:noProof/>
                <w:sz w:val="20"/>
                <w:szCs w:val="20"/>
                <w:vertAlign w:val="superscript"/>
              </w:rPr>
              <w:t>20</w:t>
            </w:r>
            <w:r w:rsidR="00E307F0">
              <w:rPr>
                <w:rFonts w:ascii="Georgia" w:hAnsi="Georgia" w:cs="Times New Roman"/>
                <w:sz w:val="20"/>
                <w:szCs w:val="20"/>
              </w:rPr>
              <w:fldChar w:fldCharType="end"/>
            </w:r>
            <w:r w:rsidR="00E307F0" w:rsidRPr="00F04AC1">
              <w:rPr>
                <w:rFonts w:ascii="Georgia" w:eastAsia="Times New Roman" w:hAnsi="Georgia" w:cs="Times New Roman"/>
                <w:color w:val="000000" w:themeColor="text1"/>
                <w:sz w:val="20"/>
                <w:szCs w:val="20"/>
                <w:lang w:val="en-US"/>
              </w:rPr>
              <w:t xml:space="preserve"> </w:t>
            </w:r>
          </w:p>
        </w:tc>
        <w:tc>
          <w:tcPr>
            <w:tcW w:w="1111"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sz w:val="20"/>
                <w:szCs w:val="20"/>
                <w:lang w:val="en-US"/>
              </w:rPr>
              <w:t>Spanyol</w:t>
            </w:r>
          </w:p>
        </w:tc>
        <w:tc>
          <w:tcPr>
            <w:tcW w:w="993"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hAnsi="Georgia" w:cs="Times New Roman"/>
                <w:sz w:val="20"/>
                <w:szCs w:val="20"/>
              </w:rPr>
              <w:t>Potong silang</w:t>
            </w:r>
          </w:p>
        </w:tc>
        <w:tc>
          <w:tcPr>
            <w:tcW w:w="1984"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hAnsi="Georgia" w:cs="Times New Roman"/>
                <w:i/>
                <w:iCs/>
                <w:sz w:val="20"/>
                <w:szCs w:val="20"/>
              </w:rPr>
              <w:t>Oral and dental health status in patients with eating disorders in Madrid, Spain.</w:t>
            </w:r>
          </w:p>
        </w:tc>
        <w:tc>
          <w:tcPr>
            <w:tcW w:w="2977"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n = 179</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59 wanita berusia di atas 18 tahun terdiagnosis gangguan makan.</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120 wanita tidak terdiagnosis gangguan makan</w:t>
            </w:r>
            <w:r w:rsidRPr="00F04AC1">
              <w:rPr>
                <w:rFonts w:ascii="Georgia" w:eastAsia="Times New Roman" w:hAnsi="Georgia" w:cs="Times New Roman"/>
                <w:i/>
                <w:iCs/>
                <w:sz w:val="20"/>
                <w:szCs w:val="20"/>
                <w:lang w:val="en-US"/>
              </w:rPr>
              <w:t xml:space="preserve"> </w:t>
            </w:r>
            <w:r w:rsidRPr="00F04AC1">
              <w:rPr>
                <w:rFonts w:ascii="Georgia" w:eastAsia="Times New Roman" w:hAnsi="Georgia" w:cs="Times New Roman"/>
                <w:sz w:val="20"/>
                <w:szCs w:val="20"/>
                <w:lang w:val="en-US"/>
              </w:rPr>
              <w:t>(kelompok kontrol).</w:t>
            </w:r>
          </w:p>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sz w:val="20"/>
                <w:szCs w:val="20"/>
                <w:lang w:val="en-US"/>
              </w:rPr>
              <w:lastRenderedPageBreak/>
              <w:t>Usia rata-rata dari seluruh sampel adalah 27,62 tahun, berkisar antara 19 sampai 44 tahun.</w:t>
            </w:r>
          </w:p>
        </w:tc>
        <w:tc>
          <w:tcPr>
            <w:tcW w:w="1701"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i/>
                <w:iCs/>
                <w:sz w:val="20"/>
                <w:szCs w:val="20"/>
                <w:lang w:val="en-US"/>
              </w:rPr>
              <w:lastRenderedPageBreak/>
              <w:t xml:space="preserve">periodontal index </w:t>
            </w:r>
            <w:r w:rsidRPr="00F04AC1">
              <w:rPr>
                <w:rFonts w:ascii="Georgia" w:eastAsia="Times New Roman" w:hAnsi="Georgia" w:cs="Times New Roman"/>
                <w:sz w:val="20"/>
                <w:szCs w:val="20"/>
                <w:lang w:val="en-US"/>
              </w:rPr>
              <w:t>(PI)</w:t>
            </w:r>
          </w:p>
        </w:tc>
        <w:tc>
          <w:tcPr>
            <w:tcW w:w="2551" w:type="dxa"/>
          </w:tcPr>
          <w:p w:rsidR="00F04AC1" w:rsidRPr="00F04AC1" w:rsidRDefault="00F04AC1" w:rsidP="002D0DC8">
            <w:pPr>
              <w:pStyle w:val="ListParagraph"/>
              <w:spacing w:line="480" w:lineRule="auto"/>
              <w:ind w:left="0"/>
              <w:rPr>
                <w:rFonts w:ascii="Georgia" w:eastAsia="Times New Roman" w:hAnsi="Georgia" w:cs="Times New Roman"/>
                <w:color w:val="000000" w:themeColor="text1"/>
                <w:sz w:val="20"/>
                <w:szCs w:val="20"/>
                <w:lang w:val="en-US"/>
              </w:rPr>
            </w:pPr>
            <w:r w:rsidRPr="00F04AC1">
              <w:rPr>
                <w:rFonts w:ascii="Georgia" w:eastAsia="Times New Roman" w:hAnsi="Georgia" w:cs="Times New Roman"/>
                <w:sz w:val="20"/>
                <w:szCs w:val="20"/>
                <w:lang w:val="en-US"/>
              </w:rPr>
              <w:t xml:space="preserve">Tidak ada perbedaan signifikan pada status periodontal yang ditemukan di antara kelompok. </w:t>
            </w:r>
          </w:p>
        </w:tc>
      </w:tr>
      <w:tr w:rsidR="00F04AC1" w:rsidRPr="00F04AC1" w:rsidTr="002D0DC8">
        <w:trPr>
          <w:trHeight w:val="451"/>
        </w:trPr>
        <w:tc>
          <w:tcPr>
            <w:tcW w:w="511" w:type="dxa"/>
          </w:tcPr>
          <w:p w:rsidR="00F04AC1" w:rsidRPr="00F04AC1" w:rsidRDefault="00F04AC1" w:rsidP="002D0DC8">
            <w:pPr>
              <w:tabs>
                <w:tab w:val="left" w:pos="452"/>
              </w:tabs>
              <w:spacing w:line="480" w:lineRule="auto"/>
              <w:rPr>
                <w:rFonts w:ascii="Georgia" w:hAnsi="Georgia"/>
                <w:sz w:val="20"/>
                <w:szCs w:val="20"/>
                <w:lang w:val="en-US"/>
              </w:rPr>
            </w:pPr>
            <w:r w:rsidRPr="00F04AC1">
              <w:rPr>
                <w:rFonts w:ascii="Georgia" w:hAnsi="Georgia"/>
                <w:sz w:val="20"/>
                <w:szCs w:val="20"/>
                <w:lang w:val="en-US"/>
              </w:rPr>
              <w:t xml:space="preserve">4. </w:t>
            </w:r>
          </w:p>
        </w:tc>
        <w:tc>
          <w:tcPr>
            <w:tcW w:w="1213" w:type="dxa"/>
            <w:gridSpan w:val="2"/>
          </w:tcPr>
          <w:p w:rsidR="00F04AC1" w:rsidRPr="00F04AC1" w:rsidRDefault="00F04AC1" w:rsidP="002D0DC8">
            <w:pPr>
              <w:pStyle w:val="ListParagraph"/>
              <w:spacing w:line="480" w:lineRule="auto"/>
              <w:ind w:left="0"/>
              <w:rPr>
                <w:rFonts w:ascii="Georgia" w:hAnsi="Georgia" w:cs="Times New Roman"/>
                <w:sz w:val="20"/>
                <w:szCs w:val="20"/>
              </w:rPr>
            </w:pPr>
            <w:r w:rsidRPr="00F04AC1">
              <w:rPr>
                <w:rFonts w:ascii="Georgia" w:hAnsi="Georgia" w:cs="Times New Roman"/>
                <w:color w:val="212121"/>
                <w:sz w:val="20"/>
                <w:szCs w:val="20"/>
                <w:shd w:val="clear" w:color="auto" w:fill="FFFFFF"/>
              </w:rPr>
              <w:t>Paszynska E dkk. (2022)</w:t>
            </w:r>
            <w:r w:rsidR="00E307F0">
              <w:rPr>
                <w:rFonts w:ascii="Georgia" w:hAnsi="Georgia" w:cs="Times New Roman"/>
                <w:color w:val="212121"/>
                <w:sz w:val="20"/>
                <w:szCs w:val="20"/>
                <w:shd w:val="clear" w:color="auto" w:fill="FFFFFF"/>
              </w:rPr>
              <w:fldChar w:fldCharType="begin" w:fldLock="1"/>
            </w:r>
            <w:r w:rsidR="00E307F0">
              <w:rPr>
                <w:rFonts w:ascii="Georgia" w:hAnsi="Georgia" w:cs="Times New Roman"/>
                <w:color w:val="212121"/>
                <w:sz w:val="20"/>
                <w:szCs w:val="20"/>
                <w:shd w:val="clear" w:color="auto" w:fill="FFFFFF"/>
              </w:rPr>
              <w:instrText>ADDIN CSL_CITATION {"citationItems":[{"id":"ITEM-1","itemData":{"DOI":"10.3389/fpsyt.2022.874263","ISSN":"16640640","abstract":"Introduction: Restrictive type of anorexia nervosa (AN) is still one of the most severe eating disorders worldwide with an uncertain prognosis. Patients affected by AN should be encouraged to undertake psychiatric care and psychotherapy, but whether they should necessarily be included in careful dental care or not may still be questionable. Even though there is a constantly increasing number of AN studies, there are just a few data about the youngest group of AN children and adolescents aged &lt; 18. Methodology: This case-control study aimed to compare the dental health and gingival inflammation level in female adolescent inpatients affected by severe AN restrictive subtype vs. controls. Based on clinically confirmed 117 AN cases (hospitalized in years 2016–2020 in public Psychiatric Unit, BMI &lt; 15 kg/m2, mean age 14.9 ± 1.8), the dental status has been examined regarding the occurrence of caries lesions using Decay Missing Filling Teeth (DMFT), erosive wear as Basic Erosive Wear Examination (BEWE), gingival condition as Bleeding on Probing (BOP) and plaque deposition as Plaque Control Record (PCR). The results were compared with age-matched 103 female dental patients (BMI 19.8 ± 2.3 kg/m2, age 15.0 ± 1.8, p = 0.746) treated in a public University dental clinic. Results: AN patients were found to present a higher incidence of oral-related complications according to dental status (DMFT 3.8 ± 4.5 vs. 1.9 ± 2.1, p = 0.005), erosive tooth wear (BEWE 18.9 vs. 2.9%, p &lt; 0.001), less efficient in controlling plaque (PCR 43.8 vs. 13.7%, p &lt; 0.001) and gingival inflammation (BOP 20.0 vs. 3.9%, p &lt; 0.001) compared with female adolescents. In the AN group, a significant correlation between BOP, BEWE, and duration of AN disease (p &lt; 0.05), similarly to the number of decayed teeth D, filled teeth F and PCR were detected (p &lt; 0.05). Conclusions: Although the obtained results did not reveal any severe oral status, our findings indicated impaired dental and gingival conditions in young anorexics. Considering AN's potential role in oral health, it is essential to monitor dental treatment needs and oral hygiene levels in their present status to prevent forward complications in the future.","author":[{"dropping-particle":"","family":"Paszynska","given":"Elzbieta","non-dropping-particle":"","parse-names":false,"suffix":""},{"dropping-particle":"","family":"Hernik","given":"Amadeusz","non-dropping-particle":"","parse-names":false,"suffix":""},{"dropping-particle":"","family":"Slopien","given":"Agnieszka","non-dropping-particle":"","parse-names":false,"suffix":""},{"dropping-particle":"","family":"Roszak","given":"Magdalena","non-dropping-particle":"","parse-names":false,"suffix":""},{"dropping-particle":"","family":"Jowik","given":"Katarzyna","non-dropping-particle":"","parse-names":false,"suffix":""},{"dropping-particle":"","family":"Dmitrzak-Weglarz","given":"Monika","non-dropping-particle":"","parse-names":false,"suffix":""},{"dropping-particle":"","family":"Tyszkiewicz-Nwafor","given":"Marta","non-dropping-particle":"","parse-names":false,"suffix":""}],"container-title":"Frontiers in Psychiatry","id":"ITEM-1","issue":"May","issued":{"date-parts":[["2022"]]},"page":"1-13","title":"Risk of Dental Caries and Erosive Tooth Wear in 117 Children and Adolescents' Anorexia Nervosa Population—A Case-Control Study","type":"article-journal","volume":"13"},"uris":["http://www.mendeley.com/documents/?uuid=97a9fc7f-4ad9-424d-99a9-9be763db443c"]}],"mendeley":{"formattedCitation":"&lt;sup&gt;21&lt;/sup&gt;","plainTextFormattedCitation":"21","previouslyFormattedCitation":"&lt;sup&gt;21&lt;/sup&gt;"},"properties":{"noteIndex":0},"schema":"https://github.com/citation-style-language/schema/raw/master/csl-citation.json"}</w:instrText>
            </w:r>
            <w:r w:rsidR="00E307F0">
              <w:rPr>
                <w:rFonts w:ascii="Georgia" w:hAnsi="Georgia" w:cs="Times New Roman"/>
                <w:color w:val="212121"/>
                <w:sz w:val="20"/>
                <w:szCs w:val="20"/>
                <w:shd w:val="clear" w:color="auto" w:fill="FFFFFF"/>
              </w:rPr>
              <w:fldChar w:fldCharType="separate"/>
            </w:r>
            <w:r w:rsidR="00E307F0" w:rsidRPr="00E307F0">
              <w:rPr>
                <w:rFonts w:ascii="Georgia" w:hAnsi="Georgia" w:cs="Times New Roman"/>
                <w:noProof/>
                <w:color w:val="212121"/>
                <w:sz w:val="20"/>
                <w:szCs w:val="20"/>
                <w:shd w:val="clear" w:color="auto" w:fill="FFFFFF"/>
                <w:vertAlign w:val="superscript"/>
              </w:rPr>
              <w:t>21</w:t>
            </w:r>
            <w:r w:rsidR="00E307F0">
              <w:rPr>
                <w:rFonts w:ascii="Georgia" w:hAnsi="Georgia" w:cs="Times New Roman"/>
                <w:color w:val="212121"/>
                <w:sz w:val="20"/>
                <w:szCs w:val="20"/>
                <w:shd w:val="clear" w:color="auto" w:fill="FFFFFF"/>
              </w:rPr>
              <w:fldChar w:fldCharType="end"/>
            </w:r>
            <w:r w:rsidR="00E307F0" w:rsidRPr="00F04AC1">
              <w:rPr>
                <w:rFonts w:ascii="Georgia" w:hAnsi="Georgia" w:cs="Times New Roman"/>
                <w:sz w:val="20"/>
                <w:szCs w:val="20"/>
              </w:rPr>
              <w:t xml:space="preserve"> </w:t>
            </w:r>
          </w:p>
        </w:tc>
        <w:tc>
          <w:tcPr>
            <w:tcW w:w="1111"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Polandia</w:t>
            </w:r>
          </w:p>
        </w:tc>
        <w:tc>
          <w:tcPr>
            <w:tcW w:w="993" w:type="dxa"/>
          </w:tcPr>
          <w:p w:rsidR="00F04AC1" w:rsidRPr="00F04AC1" w:rsidRDefault="00F04AC1" w:rsidP="002D0DC8">
            <w:pPr>
              <w:pStyle w:val="ListParagraph"/>
              <w:spacing w:line="480" w:lineRule="auto"/>
              <w:ind w:left="0"/>
              <w:rPr>
                <w:rFonts w:ascii="Georgia" w:hAnsi="Georgia" w:cs="Times New Roman"/>
                <w:sz w:val="20"/>
                <w:szCs w:val="20"/>
              </w:rPr>
            </w:pPr>
            <w:r w:rsidRPr="00F04AC1">
              <w:rPr>
                <w:rFonts w:ascii="Georgia" w:hAnsi="Georgia" w:cs="Times New Roman"/>
                <w:color w:val="212121"/>
                <w:sz w:val="20"/>
                <w:szCs w:val="20"/>
                <w:shd w:val="clear" w:color="auto" w:fill="FFFFFF"/>
              </w:rPr>
              <w:t>Kasus kontrol</w:t>
            </w:r>
          </w:p>
        </w:tc>
        <w:tc>
          <w:tcPr>
            <w:tcW w:w="1984" w:type="dxa"/>
          </w:tcPr>
          <w:p w:rsidR="00F04AC1" w:rsidRPr="00F04AC1" w:rsidRDefault="00F04AC1" w:rsidP="002D0DC8">
            <w:pPr>
              <w:pStyle w:val="ListParagraph"/>
              <w:spacing w:line="480" w:lineRule="auto"/>
              <w:ind w:left="0"/>
              <w:rPr>
                <w:rFonts w:ascii="Georgia" w:hAnsi="Georgia" w:cs="Times New Roman"/>
                <w:i/>
                <w:iCs/>
                <w:sz w:val="20"/>
                <w:szCs w:val="20"/>
              </w:rPr>
            </w:pPr>
            <w:r w:rsidRPr="00F04AC1">
              <w:rPr>
                <w:rFonts w:ascii="Georgia" w:hAnsi="Georgia" w:cs="Times New Roman"/>
                <w:i/>
                <w:iCs/>
                <w:color w:val="212121"/>
                <w:sz w:val="20"/>
                <w:szCs w:val="20"/>
                <w:shd w:val="clear" w:color="auto" w:fill="FFFFFF"/>
              </w:rPr>
              <w:t>Risk of Dental Caries and Erosive Tooth Wear in 117 Children and Adolescents' Anorexia    Nervosa Population-A Case-Control Study.</w:t>
            </w:r>
          </w:p>
        </w:tc>
        <w:tc>
          <w:tcPr>
            <w:tcW w:w="2977"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n = 220</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117 pasien remaja perempuan yang menderita AN dari tahun 2015-2020 (kelompok AN).</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103 remaja perempuan berusia antara 12-18 tahun tanpa adanya riwayat gangguan makan (kelompok kontrol)</w:t>
            </w:r>
          </w:p>
        </w:tc>
        <w:tc>
          <w:tcPr>
            <w:tcW w:w="1701" w:type="dxa"/>
          </w:tcPr>
          <w:p w:rsidR="00F04AC1" w:rsidRPr="00F04AC1" w:rsidRDefault="00F04AC1" w:rsidP="002D0DC8">
            <w:pPr>
              <w:spacing w:line="480" w:lineRule="auto"/>
              <w:rPr>
                <w:rFonts w:ascii="Georgia" w:hAnsi="Georgia"/>
                <w:sz w:val="20"/>
                <w:szCs w:val="20"/>
                <w:lang w:val="en-US"/>
              </w:rPr>
            </w:pPr>
            <w:r w:rsidRPr="00F04AC1">
              <w:rPr>
                <w:rFonts w:ascii="Georgia" w:hAnsi="Georgia"/>
                <w:i/>
                <w:iCs/>
                <w:sz w:val="20"/>
                <w:szCs w:val="20"/>
                <w:lang w:val="en-US"/>
              </w:rPr>
              <w:t xml:space="preserve">Bleeding on Probing </w:t>
            </w:r>
            <w:r w:rsidRPr="00F04AC1">
              <w:rPr>
                <w:rFonts w:ascii="Georgia" w:hAnsi="Georgia"/>
                <w:sz w:val="20"/>
                <w:szCs w:val="20"/>
                <w:lang w:val="en-US"/>
              </w:rPr>
              <w:t>(BOP)</w:t>
            </w:r>
          </w:p>
          <w:p w:rsidR="00F04AC1" w:rsidRPr="00F04AC1" w:rsidRDefault="00F04AC1" w:rsidP="002D0DC8">
            <w:pPr>
              <w:pStyle w:val="ListParagraph"/>
              <w:spacing w:line="480" w:lineRule="auto"/>
              <w:ind w:left="0"/>
              <w:rPr>
                <w:rFonts w:ascii="Georgia" w:eastAsia="Times New Roman" w:hAnsi="Georgia" w:cs="Times New Roman"/>
                <w:i/>
                <w:iCs/>
                <w:sz w:val="20"/>
                <w:szCs w:val="20"/>
                <w:lang w:val="en-US"/>
              </w:rPr>
            </w:pPr>
          </w:p>
        </w:tc>
        <w:tc>
          <w:tcPr>
            <w:tcW w:w="2551" w:type="dxa"/>
          </w:tcPr>
          <w:p w:rsidR="00F04AC1" w:rsidRPr="00F04AC1" w:rsidRDefault="00F04AC1" w:rsidP="002D0DC8">
            <w:pPr>
              <w:spacing w:line="480" w:lineRule="auto"/>
              <w:rPr>
                <w:rFonts w:ascii="Georgia" w:hAnsi="Georgia"/>
                <w:sz w:val="20"/>
                <w:szCs w:val="20"/>
                <w:lang w:val="en-US"/>
              </w:rPr>
            </w:pPr>
            <w:r w:rsidRPr="00F04AC1">
              <w:rPr>
                <w:rFonts w:ascii="Georgia" w:hAnsi="Georgia"/>
                <w:sz w:val="20"/>
                <w:szCs w:val="20"/>
                <w:lang w:val="en-US"/>
              </w:rPr>
              <w:t>Kelompok AN memiliki persentase BOP yang lebih tinggi secara signifikan.</w:t>
            </w:r>
          </w:p>
        </w:tc>
      </w:tr>
      <w:tr w:rsidR="00F04AC1" w:rsidRPr="00F04AC1" w:rsidTr="002D0DC8">
        <w:trPr>
          <w:trHeight w:val="451"/>
        </w:trPr>
        <w:tc>
          <w:tcPr>
            <w:tcW w:w="511" w:type="dxa"/>
          </w:tcPr>
          <w:p w:rsidR="00F04AC1" w:rsidRPr="00F04AC1" w:rsidRDefault="00F04AC1" w:rsidP="002D0DC8">
            <w:pPr>
              <w:tabs>
                <w:tab w:val="left" w:pos="452"/>
              </w:tabs>
              <w:spacing w:line="480" w:lineRule="auto"/>
              <w:jc w:val="center"/>
              <w:rPr>
                <w:rFonts w:ascii="Georgia" w:hAnsi="Georgia"/>
                <w:sz w:val="20"/>
                <w:szCs w:val="20"/>
                <w:lang w:val="en-US"/>
              </w:rPr>
            </w:pPr>
            <w:r w:rsidRPr="00F04AC1">
              <w:rPr>
                <w:rFonts w:ascii="Georgia" w:hAnsi="Georgia"/>
                <w:sz w:val="20"/>
                <w:szCs w:val="20"/>
                <w:lang w:val="en-US"/>
              </w:rPr>
              <w:t xml:space="preserve">5. </w:t>
            </w:r>
          </w:p>
        </w:tc>
        <w:tc>
          <w:tcPr>
            <w:tcW w:w="1213" w:type="dxa"/>
            <w:gridSpan w:val="2"/>
          </w:tcPr>
          <w:p w:rsidR="00F04AC1" w:rsidRPr="00F04AC1" w:rsidRDefault="00F04AC1" w:rsidP="002D0DC8">
            <w:pPr>
              <w:pStyle w:val="ListParagraph"/>
              <w:spacing w:line="480" w:lineRule="auto"/>
              <w:ind w:left="0"/>
              <w:rPr>
                <w:rFonts w:ascii="Georgia" w:hAnsi="Georgia" w:cs="Times New Roman"/>
                <w:color w:val="212121"/>
                <w:sz w:val="20"/>
                <w:szCs w:val="20"/>
                <w:shd w:val="clear" w:color="auto" w:fill="FFFFFF"/>
              </w:rPr>
            </w:pPr>
            <w:r w:rsidRPr="00F04AC1">
              <w:rPr>
                <w:rFonts w:ascii="Georgia" w:hAnsi="Georgia" w:cs="Times New Roman"/>
                <w:color w:val="212121"/>
                <w:sz w:val="20"/>
                <w:szCs w:val="20"/>
                <w:shd w:val="clear" w:color="auto" w:fill="FFFFFF"/>
              </w:rPr>
              <w:t>Pallier A dkk. (2019)</w:t>
            </w:r>
            <w:r w:rsidR="00E307F0">
              <w:rPr>
                <w:rFonts w:ascii="Georgia" w:hAnsi="Georgia" w:cs="Times New Roman"/>
                <w:color w:val="212121"/>
                <w:sz w:val="20"/>
                <w:szCs w:val="20"/>
                <w:shd w:val="clear" w:color="auto" w:fill="FFFFFF"/>
              </w:rPr>
              <w:fldChar w:fldCharType="begin" w:fldLock="1"/>
            </w:r>
            <w:r w:rsidR="002D0DC8">
              <w:rPr>
                <w:rFonts w:ascii="Georgia" w:hAnsi="Georgia" w:cs="Times New Roman"/>
                <w:color w:val="212121"/>
                <w:sz w:val="20"/>
                <w:szCs w:val="20"/>
                <w:shd w:val="clear" w:color="auto" w:fill="FFFFFF"/>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E307F0">
              <w:rPr>
                <w:rFonts w:ascii="Georgia" w:hAnsi="Georgia" w:cs="Times New Roman"/>
                <w:color w:val="212121"/>
                <w:sz w:val="20"/>
                <w:szCs w:val="20"/>
                <w:shd w:val="clear" w:color="auto" w:fill="FFFFFF"/>
              </w:rPr>
              <w:fldChar w:fldCharType="separate"/>
            </w:r>
            <w:r w:rsidR="00E307F0" w:rsidRPr="00E307F0">
              <w:rPr>
                <w:rFonts w:ascii="Georgia" w:hAnsi="Georgia" w:cs="Times New Roman"/>
                <w:noProof/>
                <w:color w:val="212121"/>
                <w:sz w:val="20"/>
                <w:szCs w:val="20"/>
                <w:shd w:val="clear" w:color="auto" w:fill="FFFFFF"/>
                <w:vertAlign w:val="superscript"/>
              </w:rPr>
              <w:t>22</w:t>
            </w:r>
            <w:r w:rsidR="00E307F0">
              <w:rPr>
                <w:rFonts w:ascii="Georgia" w:hAnsi="Georgia" w:cs="Times New Roman"/>
                <w:color w:val="212121"/>
                <w:sz w:val="20"/>
                <w:szCs w:val="20"/>
                <w:shd w:val="clear" w:color="auto" w:fill="FFFFFF"/>
              </w:rPr>
              <w:fldChar w:fldCharType="end"/>
            </w:r>
            <w:r w:rsidR="00E307F0" w:rsidRPr="00F04AC1">
              <w:rPr>
                <w:rFonts w:ascii="Georgia" w:hAnsi="Georgia" w:cs="Times New Roman"/>
                <w:color w:val="212121"/>
                <w:sz w:val="20"/>
                <w:szCs w:val="20"/>
                <w:shd w:val="clear" w:color="auto" w:fill="FFFFFF"/>
              </w:rPr>
              <w:t xml:space="preserve"> </w:t>
            </w:r>
          </w:p>
        </w:tc>
        <w:tc>
          <w:tcPr>
            <w:tcW w:w="1111" w:type="dxa"/>
          </w:tcPr>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Perancis</w:t>
            </w:r>
          </w:p>
        </w:tc>
        <w:tc>
          <w:tcPr>
            <w:tcW w:w="993" w:type="dxa"/>
          </w:tcPr>
          <w:p w:rsidR="00F04AC1" w:rsidRPr="00F04AC1" w:rsidRDefault="00F04AC1" w:rsidP="002D0DC8">
            <w:pPr>
              <w:pStyle w:val="ListParagraph"/>
              <w:spacing w:line="480" w:lineRule="auto"/>
              <w:ind w:left="0"/>
              <w:rPr>
                <w:rFonts w:ascii="Georgia" w:hAnsi="Georgia" w:cs="Times New Roman"/>
                <w:color w:val="212121"/>
                <w:sz w:val="20"/>
                <w:szCs w:val="20"/>
                <w:shd w:val="clear" w:color="auto" w:fill="FFFFFF"/>
              </w:rPr>
            </w:pPr>
            <w:r w:rsidRPr="00F04AC1">
              <w:rPr>
                <w:rFonts w:ascii="Georgia" w:hAnsi="Georgia" w:cs="Times New Roman"/>
                <w:color w:val="212121"/>
                <w:sz w:val="20"/>
                <w:szCs w:val="20"/>
                <w:shd w:val="clear" w:color="auto" w:fill="FFFFFF"/>
              </w:rPr>
              <w:t>Kasus kontrol</w:t>
            </w:r>
          </w:p>
        </w:tc>
        <w:tc>
          <w:tcPr>
            <w:tcW w:w="1984" w:type="dxa"/>
          </w:tcPr>
          <w:p w:rsidR="00F04AC1" w:rsidRPr="00F04AC1" w:rsidRDefault="00F04AC1" w:rsidP="002D0DC8">
            <w:pPr>
              <w:pStyle w:val="ListParagraph"/>
              <w:spacing w:line="480" w:lineRule="auto"/>
              <w:ind w:left="0"/>
              <w:rPr>
                <w:rFonts w:ascii="Georgia" w:hAnsi="Georgia" w:cs="Times New Roman"/>
                <w:i/>
                <w:iCs/>
                <w:color w:val="212121"/>
                <w:sz w:val="20"/>
                <w:szCs w:val="20"/>
                <w:shd w:val="clear" w:color="auto" w:fill="FFFFFF"/>
              </w:rPr>
            </w:pPr>
            <w:r w:rsidRPr="00F04AC1">
              <w:rPr>
                <w:rFonts w:ascii="Georgia" w:hAnsi="Georgia" w:cs="Times New Roman"/>
                <w:i/>
                <w:iCs/>
                <w:color w:val="212121"/>
                <w:sz w:val="20"/>
                <w:szCs w:val="20"/>
                <w:shd w:val="clear" w:color="auto" w:fill="FFFFFF"/>
              </w:rPr>
              <w:t>Dental and periodontal health   in adults with eating  disord</w:t>
            </w:r>
            <w:r w:rsidRPr="00F04AC1">
              <w:rPr>
                <w:rFonts w:ascii="Georgia" w:hAnsi="Georgia" w:cs="Times New Roman"/>
                <w:i/>
                <w:iCs/>
                <w:color w:val="212121"/>
                <w:sz w:val="20"/>
                <w:szCs w:val="20"/>
                <w:shd w:val="clear" w:color="auto" w:fill="FFFFFF"/>
              </w:rPr>
              <w:lastRenderedPageBreak/>
              <w:t>ers: A case-control study.</w:t>
            </w:r>
          </w:p>
        </w:tc>
        <w:tc>
          <w:tcPr>
            <w:tcW w:w="2977" w:type="dxa"/>
          </w:tcPr>
          <w:p w:rsidR="00F04AC1" w:rsidRPr="00F04AC1" w:rsidRDefault="00F04AC1" w:rsidP="002D0DC8">
            <w:pPr>
              <w:spacing w:line="480" w:lineRule="auto"/>
              <w:rPr>
                <w:rFonts w:ascii="Georgia" w:hAnsi="Georgia"/>
                <w:sz w:val="20"/>
                <w:szCs w:val="20"/>
                <w:lang w:val="en-US"/>
              </w:rPr>
            </w:pPr>
            <w:r w:rsidRPr="00F04AC1">
              <w:rPr>
                <w:rFonts w:ascii="Georgia" w:hAnsi="Georgia"/>
                <w:sz w:val="20"/>
                <w:szCs w:val="20"/>
                <w:lang w:val="en-US"/>
              </w:rPr>
              <w:lastRenderedPageBreak/>
              <w:t>n = 140</w:t>
            </w:r>
          </w:p>
          <w:p w:rsidR="00F04AC1" w:rsidRPr="00F04AC1" w:rsidRDefault="00F04AC1" w:rsidP="002D0DC8">
            <w:pPr>
              <w:spacing w:line="480" w:lineRule="auto"/>
              <w:rPr>
                <w:rFonts w:ascii="Georgia" w:hAnsi="Georgia"/>
                <w:sz w:val="20"/>
                <w:szCs w:val="20"/>
                <w:lang w:val="en-US"/>
              </w:rPr>
            </w:pPr>
            <w:r w:rsidRPr="00F04AC1">
              <w:rPr>
                <w:rFonts w:ascii="Georgia" w:hAnsi="Georgia"/>
                <w:sz w:val="20"/>
                <w:szCs w:val="20"/>
                <w:lang w:val="en-US"/>
              </w:rPr>
              <w:t xml:space="preserve">70 pasien rawat inap wanita (36 dengan AN dan 34 dengan </w:t>
            </w:r>
            <w:r w:rsidRPr="00F04AC1">
              <w:rPr>
                <w:rFonts w:ascii="Georgia" w:hAnsi="Georgia"/>
                <w:sz w:val="20"/>
                <w:szCs w:val="20"/>
                <w:lang w:val="en-US"/>
              </w:rPr>
              <w:lastRenderedPageBreak/>
              <w:t>BN). Usia rata-rata 32,1 ± 9,1 tahun.</w:t>
            </w:r>
          </w:p>
          <w:p w:rsidR="00F04AC1" w:rsidRPr="00F04AC1" w:rsidRDefault="00F04AC1" w:rsidP="002D0DC8">
            <w:pPr>
              <w:spacing w:line="480" w:lineRule="auto"/>
              <w:rPr>
                <w:rFonts w:ascii="Georgia" w:hAnsi="Georgia"/>
                <w:sz w:val="20"/>
                <w:szCs w:val="20"/>
                <w:lang w:val="en-US"/>
              </w:rPr>
            </w:pPr>
            <w:r w:rsidRPr="00F04AC1">
              <w:rPr>
                <w:rFonts w:ascii="Georgia" w:hAnsi="Georgia"/>
                <w:sz w:val="20"/>
                <w:szCs w:val="20"/>
                <w:lang w:val="en-US"/>
              </w:rPr>
              <w:t>70 wanita yang sesuai berdasarkan usia.</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Usia rata-rata 30,2 ± 4,7 tahun (kelompok kontrol).</w:t>
            </w:r>
          </w:p>
        </w:tc>
        <w:tc>
          <w:tcPr>
            <w:tcW w:w="1701" w:type="dxa"/>
          </w:tcPr>
          <w:p w:rsidR="00F04AC1" w:rsidRPr="00F04AC1" w:rsidRDefault="00F04AC1" w:rsidP="002D0DC8">
            <w:pPr>
              <w:spacing w:line="480" w:lineRule="auto"/>
              <w:rPr>
                <w:rFonts w:ascii="Georgia" w:hAnsi="Georgia"/>
                <w:sz w:val="20"/>
                <w:szCs w:val="20"/>
                <w:lang w:val="en-US"/>
              </w:rPr>
            </w:pPr>
            <w:r w:rsidRPr="00F04AC1">
              <w:rPr>
                <w:rFonts w:ascii="Georgia" w:hAnsi="Georgia"/>
                <w:i/>
                <w:iCs/>
                <w:sz w:val="20"/>
                <w:szCs w:val="20"/>
                <w:lang w:val="en-US"/>
              </w:rPr>
              <w:lastRenderedPageBreak/>
              <w:t xml:space="preserve">Bleeding on Probing </w:t>
            </w:r>
            <w:r w:rsidRPr="00F04AC1">
              <w:rPr>
                <w:rFonts w:ascii="Georgia" w:hAnsi="Georgia"/>
                <w:sz w:val="20"/>
                <w:szCs w:val="20"/>
                <w:lang w:val="en-US"/>
              </w:rPr>
              <w:t>(BOP)</w:t>
            </w:r>
          </w:p>
          <w:p w:rsidR="00F04AC1" w:rsidRPr="00F04AC1" w:rsidRDefault="00F04AC1" w:rsidP="002D0DC8">
            <w:pPr>
              <w:spacing w:line="480" w:lineRule="auto"/>
              <w:rPr>
                <w:rFonts w:ascii="Georgia" w:hAnsi="Georgia"/>
                <w:i/>
                <w:iCs/>
                <w:sz w:val="20"/>
                <w:szCs w:val="20"/>
                <w:lang w:val="en-US"/>
              </w:rPr>
            </w:pPr>
          </w:p>
          <w:p w:rsidR="00F04AC1" w:rsidRPr="00F04AC1" w:rsidRDefault="00F04AC1" w:rsidP="002D0DC8">
            <w:pPr>
              <w:spacing w:line="480" w:lineRule="auto"/>
              <w:rPr>
                <w:rFonts w:ascii="Georgia" w:hAnsi="Georgia"/>
                <w:sz w:val="20"/>
                <w:szCs w:val="20"/>
                <w:lang w:val="en-US"/>
              </w:rPr>
            </w:pPr>
            <w:r w:rsidRPr="00F04AC1">
              <w:rPr>
                <w:rFonts w:ascii="Georgia" w:hAnsi="Georgia"/>
                <w:sz w:val="20"/>
                <w:szCs w:val="20"/>
                <w:lang w:val="en-US"/>
              </w:rPr>
              <w:lastRenderedPageBreak/>
              <w:t>Kedalaman Poket</w:t>
            </w:r>
          </w:p>
          <w:p w:rsidR="00F04AC1" w:rsidRPr="00F04AC1" w:rsidRDefault="00F04AC1" w:rsidP="002D0DC8">
            <w:pPr>
              <w:spacing w:line="480" w:lineRule="auto"/>
              <w:rPr>
                <w:rFonts w:ascii="Georgia" w:hAnsi="Georgia"/>
                <w:sz w:val="20"/>
                <w:szCs w:val="20"/>
                <w:lang w:val="en-US"/>
              </w:rPr>
            </w:pPr>
          </w:p>
          <w:p w:rsidR="00F04AC1" w:rsidRPr="00F04AC1" w:rsidRDefault="00F04AC1" w:rsidP="002D0DC8">
            <w:pPr>
              <w:spacing w:line="480" w:lineRule="auto"/>
              <w:rPr>
                <w:rFonts w:ascii="Georgia" w:hAnsi="Georgia"/>
                <w:sz w:val="20"/>
                <w:szCs w:val="20"/>
                <w:lang w:val="en-US"/>
              </w:rPr>
            </w:pPr>
            <w:r w:rsidRPr="00F04AC1">
              <w:rPr>
                <w:rFonts w:ascii="Georgia" w:hAnsi="Georgia"/>
                <w:i/>
                <w:iCs/>
                <w:sz w:val="20"/>
                <w:szCs w:val="20"/>
                <w:lang w:val="en-US"/>
              </w:rPr>
              <w:t xml:space="preserve">Clinical Attachment Loss </w:t>
            </w:r>
            <w:r w:rsidRPr="00F04AC1">
              <w:rPr>
                <w:rFonts w:ascii="Georgia" w:hAnsi="Georgia"/>
                <w:sz w:val="20"/>
                <w:szCs w:val="20"/>
                <w:lang w:val="en-US"/>
              </w:rPr>
              <w:t>(CAL)</w:t>
            </w:r>
          </w:p>
        </w:tc>
        <w:tc>
          <w:tcPr>
            <w:tcW w:w="2551" w:type="dxa"/>
          </w:tcPr>
          <w:p w:rsidR="00F04AC1" w:rsidRPr="00F04AC1" w:rsidRDefault="00F04AC1" w:rsidP="002D0DC8">
            <w:pPr>
              <w:pStyle w:val="ListParagraph"/>
              <w:spacing w:line="480" w:lineRule="auto"/>
              <w:ind w:left="0"/>
              <w:rPr>
                <w:rFonts w:ascii="Georgia" w:eastAsia="Times New Roman" w:hAnsi="Georgia" w:cs="Times New Roman"/>
                <w:sz w:val="20"/>
                <w:szCs w:val="20"/>
                <w:highlight w:val="yellow"/>
                <w:lang w:val="en-US"/>
              </w:rPr>
            </w:pPr>
            <w:r w:rsidRPr="00F04AC1">
              <w:rPr>
                <w:rFonts w:ascii="Georgia" w:eastAsia="Times New Roman" w:hAnsi="Georgia" w:cs="Times New Roman"/>
                <w:sz w:val="20"/>
                <w:szCs w:val="20"/>
                <w:lang w:val="en-US"/>
              </w:rPr>
              <w:lastRenderedPageBreak/>
              <w:t xml:space="preserve">BOP dan CAL meningkat pada pasien AN dan BN. Pasien AN memiliki </w:t>
            </w:r>
            <w:r w:rsidRPr="00F04AC1">
              <w:rPr>
                <w:rFonts w:ascii="Georgia" w:eastAsia="Times New Roman" w:hAnsi="Georgia" w:cs="Times New Roman"/>
                <w:sz w:val="20"/>
                <w:szCs w:val="20"/>
                <w:lang w:val="en-US"/>
              </w:rPr>
              <w:lastRenderedPageBreak/>
              <w:t>persentase yang lebih tinggi daripada BN.</w:t>
            </w: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p>
          <w:p w:rsidR="00F04AC1" w:rsidRPr="00F04AC1" w:rsidRDefault="00F04AC1" w:rsidP="002D0DC8">
            <w:pPr>
              <w:pStyle w:val="ListParagraph"/>
              <w:spacing w:line="480" w:lineRule="auto"/>
              <w:ind w:left="0"/>
              <w:rPr>
                <w:rFonts w:ascii="Georgia" w:hAnsi="Georgia" w:cs="Times New Roman"/>
                <w:sz w:val="20"/>
                <w:szCs w:val="20"/>
              </w:rPr>
            </w:pPr>
            <w:r w:rsidRPr="00F04AC1">
              <w:rPr>
                <w:rFonts w:ascii="Georgia" w:eastAsia="Times New Roman" w:hAnsi="Georgia" w:cs="Times New Roman"/>
                <w:sz w:val="20"/>
                <w:szCs w:val="20"/>
                <w:lang w:val="en-US"/>
              </w:rPr>
              <w:t xml:space="preserve">Persentase kedalaman </w:t>
            </w:r>
            <w:proofErr w:type="gramStart"/>
            <w:r w:rsidRPr="00F04AC1">
              <w:rPr>
                <w:rFonts w:ascii="Georgia" w:eastAsia="Times New Roman" w:hAnsi="Georgia" w:cs="Times New Roman"/>
                <w:sz w:val="20"/>
                <w:szCs w:val="20"/>
                <w:lang w:val="en-US"/>
              </w:rPr>
              <w:t xml:space="preserve">poket </w:t>
            </w:r>
            <w:r w:rsidRPr="00F04AC1">
              <w:rPr>
                <w:rFonts w:ascii="Georgia" w:hAnsi="Georgia" w:cs="Times New Roman"/>
                <w:sz w:val="20"/>
                <w:szCs w:val="20"/>
              </w:rPr>
              <w:t xml:space="preserve"> minimal</w:t>
            </w:r>
            <w:proofErr w:type="gramEnd"/>
            <w:r w:rsidRPr="00F04AC1">
              <w:rPr>
                <w:rFonts w:ascii="Georgia" w:hAnsi="Georgia" w:cs="Times New Roman"/>
                <w:sz w:val="20"/>
                <w:szCs w:val="20"/>
              </w:rPr>
              <w:t xml:space="preserve"> 4 mm lebih rendah pada pasien gangguan makan.</w:t>
            </w:r>
          </w:p>
          <w:p w:rsidR="00F04AC1" w:rsidRPr="00F04AC1" w:rsidRDefault="00F04AC1" w:rsidP="002D0DC8">
            <w:pPr>
              <w:pStyle w:val="ListParagraph"/>
              <w:spacing w:line="480" w:lineRule="auto"/>
              <w:ind w:left="0"/>
              <w:rPr>
                <w:rFonts w:ascii="Georgia" w:hAnsi="Georgia" w:cs="Times New Roman"/>
                <w:sz w:val="20"/>
                <w:szCs w:val="20"/>
              </w:rPr>
            </w:pPr>
          </w:p>
          <w:p w:rsidR="00F04AC1" w:rsidRPr="00F04AC1" w:rsidRDefault="00F04AC1" w:rsidP="002D0DC8">
            <w:pPr>
              <w:pStyle w:val="ListParagraph"/>
              <w:spacing w:line="480" w:lineRule="auto"/>
              <w:ind w:left="0"/>
              <w:rPr>
                <w:rFonts w:ascii="Georgia" w:eastAsia="Times New Roman" w:hAnsi="Georgia" w:cs="Times New Roman"/>
                <w:sz w:val="20"/>
                <w:szCs w:val="20"/>
                <w:lang w:val="en-US"/>
              </w:rPr>
            </w:pPr>
            <w:r w:rsidRPr="00F04AC1">
              <w:rPr>
                <w:rFonts w:ascii="Georgia" w:eastAsia="Times New Roman" w:hAnsi="Georgia" w:cs="Times New Roman"/>
                <w:sz w:val="20"/>
                <w:szCs w:val="20"/>
                <w:lang w:val="en-US"/>
              </w:rPr>
              <w:t>Persentase situs dengan resesi gingiva &gt; 2 mm lebih tinggi pada pasien gangguan makan.</w:t>
            </w:r>
          </w:p>
        </w:tc>
      </w:tr>
    </w:tbl>
    <w:p w:rsidR="00F04AC1" w:rsidRPr="00F04AC1" w:rsidRDefault="00F04AC1" w:rsidP="00F04AC1">
      <w:pPr>
        <w:spacing w:after="0" w:line="480" w:lineRule="auto"/>
        <w:rPr>
          <w:rFonts w:ascii="Georgia" w:hAnsi="Georgia" w:cs="Times New Roman"/>
          <w:b/>
          <w:sz w:val="24"/>
          <w:szCs w:val="24"/>
          <w:lang w:val="en-US"/>
        </w:rPr>
      </w:pPr>
    </w:p>
    <w:p w:rsidR="00F04AC1" w:rsidRDefault="00F04AC1" w:rsidP="00B4116C">
      <w:pPr>
        <w:spacing w:after="0" w:line="480" w:lineRule="auto"/>
        <w:jc w:val="both"/>
        <w:rPr>
          <w:rFonts w:ascii="Georgia" w:hAnsi="Georgia" w:cs="Times New Roman"/>
          <w:b/>
          <w:sz w:val="24"/>
          <w:szCs w:val="24"/>
        </w:rPr>
      </w:pPr>
    </w:p>
    <w:p w:rsidR="00F04AC1" w:rsidRDefault="00F04AC1" w:rsidP="00B4116C">
      <w:pPr>
        <w:spacing w:after="0" w:line="480" w:lineRule="auto"/>
        <w:jc w:val="both"/>
        <w:rPr>
          <w:rFonts w:ascii="Georgia" w:hAnsi="Georgia" w:cs="Times New Roman"/>
          <w:b/>
          <w:sz w:val="24"/>
          <w:szCs w:val="24"/>
        </w:rPr>
      </w:pPr>
    </w:p>
    <w:p w:rsidR="00F04AC1" w:rsidRDefault="00F04AC1" w:rsidP="00B4116C">
      <w:pPr>
        <w:spacing w:after="0" w:line="480" w:lineRule="auto"/>
        <w:jc w:val="both"/>
        <w:rPr>
          <w:rFonts w:ascii="Georgia" w:hAnsi="Georgia" w:cs="Times New Roman"/>
          <w:b/>
          <w:sz w:val="24"/>
          <w:szCs w:val="24"/>
        </w:rPr>
      </w:pPr>
    </w:p>
    <w:p w:rsidR="00F04AC1" w:rsidRDefault="00F04AC1" w:rsidP="00B4116C">
      <w:pPr>
        <w:spacing w:after="0" w:line="480" w:lineRule="auto"/>
        <w:jc w:val="both"/>
        <w:rPr>
          <w:rFonts w:ascii="Georgia" w:hAnsi="Georgia" w:cs="Times New Roman"/>
          <w:b/>
          <w:sz w:val="24"/>
          <w:szCs w:val="24"/>
        </w:rPr>
        <w:sectPr w:rsidR="00F04AC1" w:rsidSect="00F04AC1">
          <w:pgSz w:w="16838" w:h="11906" w:orient="landscape"/>
          <w:pgMar w:top="1701" w:right="1701" w:bottom="2268" w:left="2268" w:header="709" w:footer="709" w:gutter="0"/>
          <w:cols w:space="708"/>
          <w:docGrid w:linePitch="360"/>
        </w:sectPr>
      </w:pPr>
    </w:p>
    <w:p w:rsidR="00B4116C" w:rsidRDefault="00B4116C" w:rsidP="00B4116C">
      <w:pPr>
        <w:spacing w:after="0" w:line="480" w:lineRule="auto"/>
        <w:jc w:val="both"/>
        <w:rPr>
          <w:rFonts w:ascii="Georgia" w:hAnsi="Georgia" w:cs="Times New Roman"/>
          <w:b/>
          <w:sz w:val="24"/>
          <w:szCs w:val="24"/>
        </w:rPr>
      </w:pPr>
      <w:r w:rsidRPr="00CB15FA">
        <w:rPr>
          <w:rFonts w:ascii="Georgia" w:hAnsi="Georgia" w:cs="Times New Roman"/>
          <w:b/>
          <w:sz w:val="24"/>
          <w:szCs w:val="24"/>
        </w:rPr>
        <w:lastRenderedPageBreak/>
        <w:t>Pembahasan</w:t>
      </w:r>
    </w:p>
    <w:p w:rsidR="00B4116C" w:rsidRPr="00A77745" w:rsidRDefault="00B4116C" w:rsidP="00A16C05">
      <w:pPr>
        <w:pStyle w:val="Default"/>
        <w:spacing w:line="480" w:lineRule="auto"/>
        <w:jc w:val="both"/>
        <w:rPr>
          <w:rFonts w:ascii="Georgia" w:eastAsia="Times New Roman" w:hAnsi="Georgia"/>
          <w:lang w:val="en-ID"/>
        </w:rPr>
      </w:pPr>
      <w:r w:rsidRPr="00B4116C">
        <w:rPr>
          <w:rFonts w:ascii="Georgia" w:eastAsia="Times New Roman" w:hAnsi="Georgia"/>
          <w:lang w:val="en-ID"/>
        </w:rPr>
        <w:t xml:space="preserve">Berdasarkan parameter perdarahan gingiva yang digunakan dalam penelitian ini, </w:t>
      </w:r>
      <w:r w:rsidR="00FA1AB7">
        <w:rPr>
          <w:rFonts w:ascii="Georgia" w:eastAsia="Times New Roman" w:hAnsi="Georgia"/>
          <w:lang w:val="en-ID"/>
        </w:rPr>
        <w:t>dua</w:t>
      </w:r>
      <w:r w:rsidRPr="00B4116C">
        <w:rPr>
          <w:rFonts w:ascii="Georgia" w:eastAsia="Times New Roman" w:hAnsi="Georgia"/>
          <w:lang w:val="en-ID"/>
        </w:rPr>
        <w:t xml:space="preserve"> penelitian menggunakan </w:t>
      </w:r>
      <w:r w:rsidR="00A77745">
        <w:rPr>
          <w:rFonts w:ascii="Georgia" w:eastAsia="Times New Roman" w:hAnsi="Georgia"/>
          <w:i/>
          <w:iCs/>
          <w:lang w:val="en-ID"/>
        </w:rPr>
        <w:t xml:space="preserve">bleeding on probing </w:t>
      </w:r>
      <w:r w:rsidR="00A77745">
        <w:rPr>
          <w:rFonts w:ascii="Georgia" w:eastAsia="Times New Roman" w:hAnsi="Georgia"/>
          <w:lang w:val="en-ID"/>
        </w:rPr>
        <w:t>(</w:t>
      </w:r>
      <w:r w:rsidRPr="00B4116C">
        <w:rPr>
          <w:rFonts w:ascii="Georgia" w:eastAsia="Times New Roman" w:hAnsi="Georgia"/>
          <w:lang w:val="en-ID"/>
        </w:rPr>
        <w:t>BOP</w:t>
      </w:r>
      <w:r w:rsidR="00A77745">
        <w:rPr>
          <w:rFonts w:ascii="Georgia" w:eastAsia="Times New Roman" w:hAnsi="Georgia"/>
          <w:lang w:val="en-ID"/>
        </w:rPr>
        <w:t>)</w:t>
      </w:r>
      <w:r w:rsidRPr="00B4116C">
        <w:rPr>
          <w:rFonts w:ascii="Georgia" w:eastAsia="Times New Roman" w:hAnsi="Georgia"/>
          <w:lang w:val="en-ID"/>
        </w:rPr>
        <w:t xml:space="preserve"> sebagai ukuran status periodontal.</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{"citationItems":[{"id":"ITEM-1","itemData":{"DOI":"10.3389/fpsyt.2022.874263","ISSN":"16640640","abstract":"Introduction: Restrictive type of anorexia nervosa (AN) is still one of the most severe eating disorders worldwide with an uncertain prognosis. Patients affected by AN should be encouraged to undertake psychiatric care and psychotherapy, but whether they should necessarily be included in careful dental care or not may still be questionable. Even though there is a constantly increasing number of AN studies, there are just a few data about the youngest group of AN children and adolescents aged &lt; 18. Methodology: This case-control study aimed to compare the dental health and gingival inflammation level in female adolescent inpatients affected by severe AN restrictive subtype vs. controls. Based on clinically confirmed 117 AN cases (hospitalized in years 2016–2020 in public Psychiatric Unit, BMI &lt; 15 kg/m2, mean age 14.9 ± 1.8), the dental status has been examined regarding the occurrence of caries lesions using Decay Missing Filling Teeth (DMFT), erosive wear as Basic Erosive Wear Examination (BEWE), gingival condition as Bleeding on Probing (BOP) and plaque deposition as Plaque Control Record (PCR). The results were compared with age-matched 103 female dental patients (BMI 19.8 ± 2.3 kg/m2, age 15.0 ± 1.8, p = 0.746) treated in a public University dental clinic. Results: AN patients were found to present a higher incidence of oral-related complications according to dental status (DMFT 3.8 ± 4.5 vs. 1.9 ± 2.1, p = 0.005), erosive tooth wear (BEWE 18.9 vs. 2.9%, p &lt; 0.001), less efficient in controlling plaque (PCR 43.8 vs. 13.7%, p &lt; 0.001) and gingival inflammation (BOP 20.0 vs. 3.9%, p &lt; 0.001) compared with female adolescents. In the AN group, a significant correlation between BOP, BEWE, and duration of AN disease (p &lt; 0.05), similarly to the number of decayed teeth D, filled teeth F and PCR were detected (p &lt; 0.05). Conclusions: Although the obtained results did not reveal any severe oral status, our findings indicated impaired dental and gingival conditions in young anorexics. Considering AN's potential role in oral health, it is essential to monitor dental treatment needs and oral hygiene levels in their present status to prevent forward complications in the future.","author":[{"dropping-particle":"","family":"Paszynska","given":"Elzbieta","non-dropping-particle":"","parse-names":false,"suffix":""},{"dropping-particle":"","family":"Hernik","given":"Amadeusz","non-dropping-particle":"","parse-names":false,"suffix":""},{"dropping-particle":"","family":"Slopien","given":"Agnieszka","non-dropping-particle":"","parse-names":false,"suffix":""},{"dropping-particle":"","family":"Roszak","given":"Magdalena","non-dropping-particle":"","parse-names":false,"suffix":""},{"dropping-particle":"","family":"Jowik","given":"Katarzyna","non-dropping-particle":"","parse-names":false,"suffix":""},{"dropping-particle":"","family":"Dmitrzak-Weglarz","given":"Monika","non-dropping-particle":"","parse-names":false,"suffix":""},{"dropping-particle":"","family":"Tyszkiewicz-Nwafor","given":"Marta","non-dropping-particle":"","parse-names":false,"suffix":""}],"container-title":"Frontiers in Psychiatry","id":"ITEM-1","issue":"May","issued":{"date-parts":[["2022"]]},"page":"1-13","title":"Risk of Dental Caries and Erosive Tooth Wear in 117 Children and Adolescents' Anorexia Nervosa Population—A Case-Control Study","type":"article-journal","volume":"13"},"uris":["http://www.mendeley.com/documents/?uuid=97a9fc7f-4ad9-424d-99a9-9be763db443c"]},{"id":"ITEM-2","itemData":{"DOI":"10.1016/j.jdent.2019.03.005","ISSN":"03005712","PMID":"30876949","abstract":"Objectives: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Dentistry","id":"ITEM-2","issued":{"date-parts":[["2019"]]},"page":"55-59","publisher":"Elsevier","title":"Dental and periodontal health in adults with eating disorders: A case-control study","type":"article-journal","volume":"84"},"uris":["http://www.mendeley.com/documents/?uuid=b34170e0-090c-416a-a665-c56cdb23c0f1"]}],"mendeley":{"formattedCitation":"&lt;sup&gt;21,22&lt;/sup&gt;","plainTextFormattedCitation":"21,22","previouslyFormattedCitation":"&lt;sup&gt;21,22&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21,22</w:t>
      </w:r>
      <w:r w:rsidR="002D0DC8">
        <w:rPr>
          <w:rFonts w:ascii="Georgia" w:eastAsia="Times New Roman" w:hAnsi="Georgia"/>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lang w:val="en-ID"/>
        </w:rPr>
        <w:t>Penelitian melaporkan bahwa persentase BOP lebih tinggi pada kelompok gangguan makan.</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{"citationItems":[{"id":"ITEM-1","itemData":{"DOI":"10.3389/fpsyt.2022.874263","ISSN":"16640640","abstract":"Introduction: Restrictive type of anorexia nervosa (AN) is still one of the most severe eating disorders worldwide with an uncertain prognosis. Patients affected by AN should be encouraged to undertake psychiatric care and psychotherapy, but whether they should necessarily be included in careful dental care or not may still be questionable. Even though there is a constantly increasing number of AN studies, there are just a few data about the youngest group of AN children and adolescents aged &lt; 18. Methodology: This case-control study aimed to compare the dental health and gingival inflammation level in female adolescent inpatients affected by severe AN restrictive subtype vs. controls. Based on clinically confirmed 117 AN cases (hospitalized in years 2016–2020 in public Psychiatric Unit, BMI &lt; 15 kg/m2, mean age 14.9 ± 1.8), the dental status has been examined regarding the occurrence of caries lesions using Decay Missing Filling Teeth (DMFT), erosive wear as Basic Erosive Wear Examination (BEWE), gingival condition as Bleeding on Probing (BOP) and plaque deposition as Plaque Control Record (PCR). The results were compared with age-matched 103 female dental patients (BMI 19.8 ± 2.3 kg/m2, age 15.0 ± 1.8, p = 0.746) treated in a public University dental clinic. Results: AN patients were found to present a higher incidence of oral-related complications according to dental status (DMFT 3.8 ± 4.5 vs. 1.9 ± 2.1, p = 0.005), erosive tooth wear (BEWE 18.9 vs. 2.9%, p &lt; 0.001), less efficient in controlling plaque (PCR 43.8 vs. 13.7%, p &lt; 0.001) and gingival inflammation (BOP 20.0 vs. 3.9%, p &lt; 0.001) compared with female adolescents. In the AN group, a significant correlation between BOP, BEWE, and duration of AN disease (p &lt; 0.05), similarly to the number of decayed teeth D, filled teeth F and PCR were detected (p &lt; 0.05). Conclusions: Although the obtained results did not reveal any severe oral status, our findings indicated impaired dental and gingival conditions in young anorexics. Considering AN's potential role in oral health, it is essential to monitor dental treatment needs and oral hygiene levels in their present status to prevent forward complications in the future.","author":[{"dropping-particle":"","family":"Paszynska","given":"Elzbieta","non-dropping-particle":"","parse-names":false,"suffix":""},{"dropping-particle":"","family":"Hernik","given":"Amadeusz","non-dropping-particle":"","parse-names":false,"suffix":""},{"dropping-particle":"","family":"Slopien","given":"Agnieszka","non-dropping-particle":"","parse-names":false,"suffix":""},{"dropping-particle":"","family":"Roszak","given":"Magdalena","non-dropping-particle":"","parse-names":false,"suffix":""},{"dropping-particle":"","family":"Jowik","given":"Katarzyna","non-dropping-particle":"","parse-names":false,"suffix":""},{"dropping-particle":"","family":"Dmitrzak-Weglarz","given":"Monika","non-dropping-particle":"","parse-names":false,"suffix":""},{"dropping-particle":"","family":"Tyszkiewicz-Nwafor","given":"Marta","non-dropping-particle":"","parse-names":false,"suffix":""}],"container-title":"Frontiers in Psychiatry","id":"ITEM-1","issue":"May","issued":{"date-parts":[["2022"]]},"page":"1-13","title":"Risk of Dental Caries and Erosive Tooth Wear in 117 Children and Adolescents' Anorexia Nervosa Population—A Case-Control Study","type":"article-journal","volume":"13"},"uris":["http://www.mendeley.com/documents/?uuid=97a9fc7f-4ad9-424d-99a9-9be763db443c"]},{"id":"ITEM-2","itemData":{"DOI":"10.1016/j.jdent.2019.03.005","ISSN":"03005712","PMID":"30876949","abstract":"Objectives: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Dentistry","id":"ITEM-2","issued":{"date-parts":[["2019"]]},"page":"55-59","publisher":"Elsevier","title":"Dental and periodontal health in adults with eating disorders: A case-control study","type":"article-journal","volume":"84"},"uris":["http://www.mendeley.com/documents/?uuid=b34170e0-090c-416a-a665-c56cdb23c0f1"]}],"mendeley":{"formattedCitation":"&lt;sup&gt;21,22&lt;/sup&gt;","plainTextFormattedCitation":"21,22","previouslyFormattedCitation":"&lt;sup&gt;21,22&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21,22</w:t>
      </w:r>
      <w:r w:rsidR="002D0DC8">
        <w:rPr>
          <w:rFonts w:ascii="Georgia" w:eastAsia="Times New Roman" w:hAnsi="Georgia"/>
          <w:lang w:val="en-ID"/>
        </w:rPr>
        <w:fldChar w:fldCharType="end"/>
      </w:r>
      <w:r w:rsidR="00A37C8B">
        <w:rPr>
          <w:rFonts w:ascii="Georgia" w:eastAsia="Times New Roman" w:hAnsi="Georgia"/>
          <w:position w:val="6"/>
          <w:lang w:val="en-ID"/>
        </w:rPr>
        <w:t xml:space="preserve"> </w:t>
      </w:r>
      <w:r w:rsidR="00A37C8B">
        <w:rPr>
          <w:rFonts w:ascii="Georgia" w:eastAsia="Times New Roman" w:hAnsi="Georgia"/>
          <w:lang w:val="en-ID"/>
        </w:rPr>
        <w:t>Sa</w:t>
      </w:r>
      <w:r w:rsidR="00FA1AB7">
        <w:rPr>
          <w:rFonts w:ascii="Georgia" w:eastAsia="Times New Roman" w:hAnsi="Georgia"/>
          <w:lang w:val="en-ID"/>
        </w:rPr>
        <w:t>tu</w:t>
      </w:r>
      <w:r w:rsidRPr="00B4116C">
        <w:rPr>
          <w:rFonts w:ascii="Georgia" w:eastAsia="Times New Roman" w:hAnsi="Georgia"/>
          <w:lang w:val="en-ID"/>
        </w:rPr>
        <w:t xml:space="preserve"> penelitian menggunakan</w:t>
      </w:r>
      <w:r w:rsidR="00A77745">
        <w:rPr>
          <w:rFonts w:ascii="Georgia" w:eastAsia="Times New Roman" w:hAnsi="Georgia"/>
          <w:lang w:val="en-ID"/>
        </w:rPr>
        <w:t xml:space="preserve"> </w:t>
      </w:r>
      <w:r w:rsidR="00A77745">
        <w:rPr>
          <w:rFonts w:ascii="Georgia" w:eastAsia="Times New Roman" w:hAnsi="Georgia"/>
          <w:i/>
          <w:iCs/>
          <w:lang w:val="en-ID"/>
        </w:rPr>
        <w:t>community periodontal index</w:t>
      </w:r>
      <w:r w:rsidRPr="00B4116C">
        <w:rPr>
          <w:rFonts w:ascii="Georgia" w:eastAsia="Times New Roman" w:hAnsi="Georgia"/>
          <w:lang w:val="en-ID"/>
        </w:rPr>
        <w:t xml:space="preserve"> </w:t>
      </w:r>
      <w:r w:rsidR="00A77745">
        <w:rPr>
          <w:rFonts w:ascii="Georgia" w:eastAsia="Times New Roman" w:hAnsi="Georgia"/>
          <w:lang w:val="en-ID"/>
        </w:rPr>
        <w:t>(</w:t>
      </w:r>
      <w:r w:rsidRPr="00B4116C">
        <w:rPr>
          <w:rFonts w:ascii="Georgia" w:eastAsia="Times New Roman" w:hAnsi="Georgia"/>
          <w:lang w:val="en-ID"/>
        </w:rPr>
        <w:t>CPI</w:t>
      </w:r>
      <w:r w:rsidR="00A77745">
        <w:rPr>
          <w:rFonts w:ascii="Georgia" w:eastAsia="Times New Roman" w:hAnsi="Georgia"/>
          <w:lang w:val="en-ID"/>
        </w:rPr>
        <w:t>)</w:t>
      </w:r>
      <w:r w:rsidRPr="00B4116C">
        <w:rPr>
          <w:rFonts w:ascii="Georgia" w:eastAsia="Times New Roman" w:hAnsi="Georgia"/>
          <w:lang w:val="en-ID"/>
        </w:rPr>
        <w:t xml:space="preserve"> untuk mengukur status periodontal.</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18</w:t>
      </w:r>
      <w:r w:rsidR="002D0DC8">
        <w:rPr>
          <w:rFonts w:ascii="Georgia" w:eastAsia="Times New Roman" w:hAnsi="Georgia"/>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lang w:val="en-ID"/>
        </w:rPr>
        <w:t>Kondisi intraoral</w:t>
      </w:r>
      <w:r w:rsidR="00A37C8B">
        <w:rPr>
          <w:rFonts w:ascii="Georgia" w:eastAsia="Times New Roman" w:hAnsi="Georgia"/>
          <w:lang w:val="en-ID"/>
        </w:rPr>
        <w:t xml:space="preserve"> yang</w:t>
      </w:r>
      <w:r w:rsidRPr="00B4116C">
        <w:rPr>
          <w:rFonts w:ascii="Georgia" w:eastAsia="Times New Roman" w:hAnsi="Georgia"/>
          <w:lang w:val="en-ID"/>
        </w:rPr>
        <w:t xml:space="preserve"> diukur dengan </w:t>
      </w:r>
      <w:r w:rsidR="00A37C8B">
        <w:rPr>
          <w:rFonts w:ascii="Georgia" w:eastAsia="Times New Roman" w:hAnsi="Georgia"/>
          <w:lang w:val="en-ID"/>
        </w:rPr>
        <w:t>parameter</w:t>
      </w:r>
      <w:r w:rsidRPr="00B4116C">
        <w:rPr>
          <w:rFonts w:ascii="Georgia" w:eastAsia="Times New Roman" w:hAnsi="Georgia"/>
          <w:lang w:val="en-ID"/>
        </w:rPr>
        <w:t xml:space="preserve"> CPI, yaitu gingiva yang sehat, keberadaan kalkulus, kedalaman poket 4-5 mm, dan BOP. Persentase BOP lebih tinggi pada kelompok gangguan makan.</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18</w:t>
      </w:r>
      <w:r w:rsidR="002D0DC8">
        <w:rPr>
          <w:rFonts w:ascii="Georgia" w:eastAsia="Times New Roman" w:hAnsi="Georgia"/>
          <w:lang w:val="en-ID"/>
        </w:rPr>
        <w:fldChar w:fldCharType="end"/>
      </w:r>
      <w:r w:rsidRPr="00B4116C">
        <w:rPr>
          <w:rFonts w:ascii="Georgia" w:eastAsia="Times New Roman" w:hAnsi="Georgia"/>
          <w:position w:val="6"/>
          <w:lang w:val="en-ID"/>
        </w:rPr>
        <w:t xml:space="preserve"> </w:t>
      </w:r>
    </w:p>
    <w:p w:rsidR="00B4116C" w:rsidRDefault="00A37C8B" w:rsidP="00B4116C">
      <w:pPr>
        <w:pStyle w:val="Default"/>
        <w:spacing w:line="480" w:lineRule="auto"/>
        <w:ind w:firstLine="340"/>
        <w:jc w:val="both"/>
        <w:rPr>
          <w:rFonts w:ascii="Georgia" w:eastAsia="Times New Roman" w:hAnsi="Georgia"/>
          <w:position w:val="6"/>
          <w:lang w:val="en-ID"/>
        </w:rPr>
      </w:pPr>
      <w:r>
        <w:rPr>
          <w:rFonts w:ascii="Georgia" w:eastAsia="Times New Roman" w:hAnsi="Georgia"/>
          <w:lang w:val="en-ID"/>
        </w:rPr>
        <w:t>P</w:t>
      </w:r>
      <w:r w:rsidR="00B4116C" w:rsidRPr="00B4116C">
        <w:rPr>
          <w:rFonts w:ascii="Georgia" w:eastAsia="Times New Roman" w:hAnsi="Georgia"/>
          <w:lang w:val="en-ID"/>
        </w:rPr>
        <w:t xml:space="preserve">arameter penelitian </w:t>
      </w:r>
      <w:r>
        <w:rPr>
          <w:rFonts w:ascii="Georgia" w:eastAsia="Times New Roman" w:hAnsi="Georgia"/>
          <w:lang w:val="en-ID"/>
        </w:rPr>
        <w:t>berdasarkan</w:t>
      </w:r>
      <w:r w:rsidR="00B4116C" w:rsidRPr="00B4116C">
        <w:rPr>
          <w:rFonts w:ascii="Georgia" w:eastAsia="Times New Roman" w:hAnsi="Georgia"/>
          <w:lang w:val="en-ID"/>
        </w:rPr>
        <w:t xml:space="preserve"> kedalaman poket, </w:t>
      </w:r>
      <w:r>
        <w:rPr>
          <w:rFonts w:ascii="Georgia" w:eastAsia="Times New Roman" w:hAnsi="Georgia"/>
          <w:lang w:val="en-ID"/>
        </w:rPr>
        <w:t xml:space="preserve">terdapat </w:t>
      </w:r>
      <w:r w:rsidR="002D0DC8">
        <w:rPr>
          <w:rFonts w:ascii="Georgia" w:eastAsia="Times New Roman" w:hAnsi="Georgia"/>
          <w:lang w:val="en-ID"/>
        </w:rPr>
        <w:t xml:space="preserve">dua </w:t>
      </w:r>
      <w:r w:rsidR="00B4116C" w:rsidRPr="00B4116C">
        <w:rPr>
          <w:rFonts w:ascii="Georgia" w:eastAsia="Times New Roman" w:hAnsi="Georgia"/>
          <w:lang w:val="en-ID"/>
        </w:rPr>
        <w:t xml:space="preserve">penelitian </w:t>
      </w:r>
      <w:r>
        <w:rPr>
          <w:rFonts w:ascii="Georgia" w:eastAsia="Times New Roman" w:hAnsi="Georgia"/>
          <w:lang w:val="en-ID"/>
        </w:rPr>
        <w:t xml:space="preserve">yang </w:t>
      </w:r>
      <w:r w:rsidR="00B4116C" w:rsidRPr="00B4116C">
        <w:rPr>
          <w:rFonts w:ascii="Georgia" w:eastAsia="Times New Roman" w:hAnsi="Georgia"/>
          <w:lang w:val="en-ID"/>
        </w:rPr>
        <w:t>menilai kedalaman poket dalam penelitian mereka.</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nervosa","type":"article-journal","volume":"90"},"uris":["http://www.mendeley.com/documents/?uuid=e61292c3-893f-414e-b43d-302af8b2069b"]},{"id":"ITEM-2","itemData":{"DOI":"10.1016/j.jdent.2019.03.005","ISSN":"03005712","PMID":"30876949","abstract":"Objectives: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Dentistry","id":"ITEM-2","issued":{"date-parts":[["2019"]]},"page":"55-59","publisher":"Elsevier","title":"Dental and periodontal health in adults with eating disorders: A case-control study","type":"article-journal","volume":"84"},"uris":["http://www.mendeley.com/documents/?uuid=b34170e0-090c-416a-a665-c56cdb23c0f1"]}],"mendeley":{"formattedCitation":"&lt;sup&gt;18,22&lt;/sup&gt;","plainTextFormattedCitation":"18,22","previouslyFormattedCitation":"&lt;sup&gt;18,22&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18,22</w:t>
      </w:r>
      <w:r w:rsidR="002D0DC8">
        <w:rPr>
          <w:rFonts w:ascii="Georgia" w:eastAsia="Times New Roman" w:hAnsi="Georgia"/>
          <w:lang w:val="en-ID"/>
        </w:rPr>
        <w:fldChar w:fldCharType="end"/>
      </w:r>
      <w:r w:rsidR="00B4116C" w:rsidRPr="00B4116C">
        <w:rPr>
          <w:rFonts w:ascii="Georgia" w:eastAsia="Times New Roman" w:hAnsi="Georgia"/>
          <w:position w:val="6"/>
          <w:lang w:val="en-ID"/>
        </w:rPr>
        <w:t xml:space="preserve"> </w:t>
      </w:r>
      <w:r w:rsidR="00A77745">
        <w:rPr>
          <w:rFonts w:ascii="Georgia" w:eastAsia="Times New Roman" w:hAnsi="Georgia"/>
          <w:i/>
          <w:iCs/>
          <w:lang w:val="en-ID"/>
        </w:rPr>
        <w:t>Community periodontal index</w:t>
      </w:r>
      <w:r w:rsidR="00B4116C" w:rsidRPr="00B4116C">
        <w:rPr>
          <w:rFonts w:ascii="Georgia" w:eastAsia="Times New Roman" w:hAnsi="Georgia"/>
          <w:lang w:val="en-ID"/>
        </w:rPr>
        <w:t xml:space="preserve"> </w:t>
      </w:r>
      <w:r w:rsidR="00A77745">
        <w:rPr>
          <w:rFonts w:ascii="Georgia" w:eastAsia="Times New Roman" w:hAnsi="Georgia"/>
          <w:lang w:val="en-ID"/>
        </w:rPr>
        <w:t xml:space="preserve">(CPI) </w:t>
      </w:r>
      <w:r w:rsidR="00B4116C" w:rsidRPr="00B4116C">
        <w:rPr>
          <w:rFonts w:ascii="Georgia" w:eastAsia="Times New Roman" w:hAnsi="Georgia"/>
          <w:lang w:val="en-ID"/>
        </w:rPr>
        <w:t>digunakan untuk mengukur perdarahan gingiva dan kedalaman poket.</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18</w:t>
      </w:r>
      <w:r w:rsidR="002D0DC8">
        <w:rPr>
          <w:rFonts w:ascii="Georgia" w:eastAsia="Times New Roman" w:hAnsi="Georgia"/>
          <w:lang w:val="en-ID"/>
        </w:rPr>
        <w:fldChar w:fldCharType="end"/>
      </w:r>
      <w:r w:rsidR="00B4116C" w:rsidRPr="00B4116C">
        <w:rPr>
          <w:rFonts w:ascii="Georgia" w:eastAsia="Times New Roman" w:hAnsi="Georgia"/>
          <w:position w:val="6"/>
          <w:lang w:val="en-ID"/>
        </w:rPr>
        <w:t xml:space="preserve"> </w:t>
      </w:r>
      <w:r w:rsidR="00B4116C" w:rsidRPr="00B4116C">
        <w:rPr>
          <w:rFonts w:ascii="Georgia" w:eastAsia="Times New Roman" w:hAnsi="Georgia"/>
          <w:lang w:val="en-ID"/>
        </w:rPr>
        <w:t>Persentase kedalaman poket 4-5 mm lebih tinggi pada pasien dengan gangguan makan.</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18</w:t>
      </w:r>
      <w:r w:rsidR="002D0DC8">
        <w:rPr>
          <w:rFonts w:ascii="Georgia" w:eastAsia="Times New Roman" w:hAnsi="Georgia"/>
          <w:lang w:val="en-ID"/>
        </w:rPr>
        <w:fldChar w:fldCharType="end"/>
      </w:r>
      <w:r w:rsidR="00B4116C" w:rsidRPr="00B4116C">
        <w:rPr>
          <w:rFonts w:ascii="Georgia" w:eastAsia="Times New Roman" w:hAnsi="Georgia"/>
          <w:position w:val="6"/>
          <w:lang w:val="en-ID"/>
        </w:rPr>
        <w:t xml:space="preserve"> </w:t>
      </w:r>
      <w:r w:rsidR="00B4116C" w:rsidRPr="00B4116C">
        <w:rPr>
          <w:rFonts w:ascii="Georgia" w:eastAsia="Times New Roman" w:hAnsi="Georgia"/>
          <w:lang w:val="en-ID"/>
        </w:rPr>
        <w:t>Cakupan lain dari parameter penelitian ini adalah kehilangan perlekatan</w:t>
      </w:r>
      <w:r w:rsidR="00A77745">
        <w:rPr>
          <w:rFonts w:ascii="Georgia" w:eastAsia="Times New Roman" w:hAnsi="Georgia"/>
          <w:lang w:val="en-ID"/>
        </w:rPr>
        <w:t>, t</w:t>
      </w:r>
      <w:r w:rsidR="00B4116C" w:rsidRPr="00B4116C">
        <w:rPr>
          <w:rFonts w:ascii="Georgia" w:eastAsia="Times New Roman" w:hAnsi="Georgia"/>
          <w:lang w:val="en-ID"/>
        </w:rPr>
        <w:t xml:space="preserve">erdapat </w:t>
      </w:r>
      <w:r w:rsidR="00FA1AB7">
        <w:rPr>
          <w:rFonts w:ascii="Georgia" w:eastAsia="Times New Roman" w:hAnsi="Georgia"/>
          <w:lang w:val="en-ID"/>
        </w:rPr>
        <w:t>satu</w:t>
      </w:r>
      <w:r w:rsidR="00B4116C" w:rsidRPr="00B4116C">
        <w:rPr>
          <w:rFonts w:ascii="Georgia" w:eastAsia="Times New Roman" w:hAnsi="Georgia"/>
          <w:lang w:val="en-ID"/>
        </w:rPr>
        <w:t xml:space="preserve"> penelitian yang menggunakan </w:t>
      </w:r>
      <w:r w:rsidR="00A77745">
        <w:rPr>
          <w:rFonts w:ascii="Georgia" w:eastAsia="Times New Roman" w:hAnsi="Georgia"/>
          <w:i/>
          <w:iCs/>
          <w:lang w:val="en-ID"/>
        </w:rPr>
        <w:t xml:space="preserve">clinical attachment loss </w:t>
      </w:r>
      <w:r w:rsidR="00A77745">
        <w:rPr>
          <w:rFonts w:ascii="Georgia" w:eastAsia="Times New Roman" w:hAnsi="Georgia"/>
          <w:lang w:val="en-ID"/>
        </w:rPr>
        <w:t>(</w:t>
      </w:r>
      <w:r w:rsidR="00B4116C" w:rsidRPr="00B4116C">
        <w:rPr>
          <w:rFonts w:ascii="Georgia" w:eastAsia="Times New Roman" w:hAnsi="Georgia"/>
          <w:lang w:val="en-ID"/>
        </w:rPr>
        <w:t>CAL</w:t>
      </w:r>
      <w:r w:rsidR="00A77745">
        <w:rPr>
          <w:rFonts w:ascii="Georgia" w:eastAsia="Times New Roman" w:hAnsi="Georgia"/>
          <w:lang w:val="en-ID"/>
        </w:rPr>
        <w:t>)</w:t>
      </w:r>
      <w:r w:rsidR="00B4116C" w:rsidRPr="00B4116C">
        <w:rPr>
          <w:rFonts w:ascii="Georgia" w:eastAsia="Times New Roman" w:hAnsi="Georgia"/>
          <w:lang w:val="en-ID"/>
        </w:rPr>
        <w:t xml:space="preserve"> sebagai alat ukur untuk mengevaluasi terjadinya kehilangan perlekatan pada pasien dengan gangguan makan.</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22</w:t>
      </w:r>
      <w:r w:rsidR="002D0DC8">
        <w:rPr>
          <w:rFonts w:ascii="Georgia" w:eastAsia="Times New Roman" w:hAnsi="Georgia"/>
          <w:lang w:val="en-ID"/>
        </w:rPr>
        <w:fldChar w:fldCharType="end"/>
      </w:r>
      <w:r w:rsidR="00B4116C" w:rsidRPr="00B4116C">
        <w:rPr>
          <w:rFonts w:ascii="Georgia" w:eastAsia="Times New Roman" w:hAnsi="Georgia"/>
          <w:position w:val="6"/>
          <w:lang w:val="en-ID"/>
        </w:rPr>
        <w:t xml:space="preserve"> </w:t>
      </w:r>
      <w:r w:rsidR="00B4116C" w:rsidRPr="00B4116C">
        <w:rPr>
          <w:rFonts w:ascii="Georgia" w:eastAsia="Times New Roman" w:hAnsi="Georgia"/>
          <w:lang w:val="en-ID"/>
        </w:rPr>
        <w:t>Persentase area gingiva dengan CAL 3 mm dan resesi gingiva &gt;2 mm secara signifikan lebih tinggi pada pasien dengan gangguan makan.</w:t>
      </w:r>
      <w:r w:rsidR="002D0DC8">
        <w:rPr>
          <w:rFonts w:ascii="Georgia" w:eastAsia="Times New Roman" w:hAnsi="Georgia"/>
          <w:lang w:val="en-ID"/>
        </w:rPr>
        <w:fldChar w:fldCharType="begin" w:fldLock="1"/>
      </w:r>
      <w:r w:rsidR="002D0DC8">
        <w:rPr>
          <w:rFonts w:ascii="Georgia" w:eastAsia="Times New Roman" w:hAnsi="Georgia"/>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lang w:val="en-ID"/>
        </w:rPr>
        <w:fldChar w:fldCharType="separate"/>
      </w:r>
      <w:r w:rsidR="002D0DC8" w:rsidRPr="002D0DC8">
        <w:rPr>
          <w:rFonts w:ascii="Georgia" w:eastAsia="Times New Roman" w:hAnsi="Georgia"/>
          <w:noProof/>
          <w:vertAlign w:val="superscript"/>
          <w:lang w:val="en-ID"/>
        </w:rPr>
        <w:t>22</w:t>
      </w:r>
      <w:r w:rsidR="002D0DC8">
        <w:rPr>
          <w:rFonts w:ascii="Georgia" w:eastAsia="Times New Roman" w:hAnsi="Georgia"/>
          <w:lang w:val="en-ID"/>
        </w:rPr>
        <w:fldChar w:fldCharType="end"/>
      </w:r>
      <w:r w:rsidR="00B4116C" w:rsidRPr="00B4116C">
        <w:rPr>
          <w:rFonts w:ascii="Georgia" w:eastAsia="Times New Roman" w:hAnsi="Georgia"/>
          <w:position w:val="6"/>
          <w:lang w:val="en-ID"/>
        </w:rPr>
        <w:t xml:space="preserve"> </w:t>
      </w:r>
    </w:p>
    <w:p w:rsidR="00B4116C" w:rsidRDefault="00B4116C" w:rsidP="00B4116C">
      <w:pPr>
        <w:pStyle w:val="Default"/>
        <w:spacing w:line="480" w:lineRule="auto"/>
        <w:ind w:firstLine="340"/>
        <w:jc w:val="both"/>
        <w:rPr>
          <w:rFonts w:ascii="Georgia" w:eastAsia="Times New Roman" w:hAnsi="Georgia"/>
          <w:position w:val="6"/>
          <w:lang w:val="en-ID"/>
        </w:rPr>
      </w:pPr>
      <w:r w:rsidRPr="00B4116C">
        <w:rPr>
          <w:rFonts w:ascii="Georgia" w:eastAsia="Times New Roman" w:hAnsi="Georgia"/>
          <w:color w:val="0C0F19"/>
          <w:lang w:val="en-ID"/>
        </w:rPr>
        <w:t>Kelompok yang mengalami gangguan</w:t>
      </w:r>
      <w:r w:rsidR="00A77745">
        <w:rPr>
          <w:rFonts w:ascii="Georgia" w:eastAsia="Times New Roman" w:hAnsi="Georgia"/>
          <w:color w:val="0C0F19"/>
          <w:lang w:val="en-ID"/>
        </w:rPr>
        <w:t xml:space="preserve"> makan</w:t>
      </w:r>
      <w:r w:rsidRPr="00B4116C">
        <w:rPr>
          <w:rFonts w:ascii="Georgia" w:eastAsia="Times New Roman" w:hAnsi="Georgia"/>
          <w:color w:val="0C0F19"/>
          <w:lang w:val="en-ID"/>
        </w:rPr>
        <w:t xml:space="preserve"> menunjukkan kondisi periodontal yang lebih buruk.</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18</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t xml:space="preserve">Penelitian </w:t>
      </w:r>
      <w:r w:rsidR="00A77745">
        <w:rPr>
          <w:rFonts w:ascii="Georgia" w:eastAsia="Times New Roman" w:hAnsi="Georgia"/>
          <w:color w:val="0C0F19"/>
          <w:lang w:val="en-ID"/>
        </w:rPr>
        <w:t>lain berasumsi</w:t>
      </w:r>
      <w:r w:rsidRPr="00B4116C">
        <w:rPr>
          <w:rFonts w:ascii="Georgia" w:eastAsia="Times New Roman" w:hAnsi="Georgia"/>
          <w:color w:val="0C0F19"/>
          <w:lang w:val="en-ID"/>
        </w:rPr>
        <w:t xml:space="preserve"> bahwa gangguan makan berhubungan dengan kondisi periodontal yang buruk.</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18</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lastRenderedPageBreak/>
        <w:t>Berkurangnya kepedulian terhadap kesehatan gigi dan mulut pada pasien dengan gangguan makan dapat dipengaruhi oleh kondisi depresi, sementara lain</w:t>
      </w:r>
      <w:r w:rsidR="00A77745">
        <w:rPr>
          <w:rFonts w:ascii="Georgia" w:eastAsia="Times New Roman" w:hAnsi="Georgia"/>
          <w:color w:val="0C0F19"/>
          <w:lang w:val="en-ID"/>
        </w:rPr>
        <w:t>nya</w:t>
      </w:r>
      <w:r w:rsidRPr="00B4116C">
        <w:rPr>
          <w:rFonts w:ascii="Georgia" w:eastAsia="Times New Roman" w:hAnsi="Georgia"/>
          <w:color w:val="0C0F19"/>
          <w:lang w:val="en-ID"/>
        </w:rPr>
        <w:t xml:space="preserve"> mungkin memiliki perilaku kompulsif dalam melakukan kebersihan gigi dan mulut.</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{"citationItems":[{"id":"ITEM-1","itemData":{"DOI":"10.1002/JPER.19-0053.This","author":[{"dropping-particle":"","family":"Chiba FY, Sumida DH, Moimaz SAS, Neto AHC, Nakamune ACM, Garbin AJI","given":"et al.","non-dropping-particle":"","parse-names":false,"suffix":""}],"container-title":"J Periodontol","id":"ITEM-1","issue":"12","issued":{"date-parts":[["2019"]]},"page":"1423-1430","title":"Periodontal condition, changes in salivary biochemical parameters, and oral health-related quality of life in patients with anorexia and bulimia nervosa","type":"article-journal","volume":"90"},"uris":["http://www.mendeley.com/documents/?uuid=e61292c3-893f-414e-b43d-302af8b2069b"]}],"mendeley":{"formattedCitation":"&lt;sup&gt;18&lt;/sup&gt;","plainTextFormattedCitation":"18","previouslyFormattedCitation":"&lt;sup&gt;18&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18</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t xml:space="preserve">Hal ini sejalan dengan penelitian lain yang melaporkan bahwa perilaku obsesif-kompulsif, seperti menyikat gigi yang intens dan terlalu sering, </w:t>
      </w:r>
      <w:r w:rsidR="00FA1AB7">
        <w:rPr>
          <w:rFonts w:ascii="Georgia" w:eastAsia="Times New Roman" w:hAnsi="Georgia"/>
          <w:color w:val="0C0F19"/>
          <w:lang w:val="en-ID"/>
        </w:rPr>
        <w:t>kerap</w:t>
      </w:r>
      <w:r w:rsidRPr="00B4116C">
        <w:rPr>
          <w:rFonts w:ascii="Georgia" w:eastAsia="Times New Roman" w:hAnsi="Georgia"/>
          <w:color w:val="0C0F19"/>
          <w:lang w:val="en-ID"/>
        </w:rPr>
        <w:t xml:space="preserve"> terjadi pada pasien gangguan makan rawat jalan.</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{"citationItems":[{"id":"ITEM-1","itemData":{"DOI":"10.1111/j.1600-0722.2011.00922.x","ISSN":"09098836","PMID":"22288922","abstract":"The aim was to compare the oral health status of patients with eating disorders (EDs), with sex- and age-matched controls, with a view to identify self-reported and clinical parameters that might alert the dental healthcare professional to the possibility of EDs. All patients who entered outpatient treatment in an ED clinic during a 12-month period were invited to participate. Of 65 ED patients who started psychiatric/medical treatment, 54 agreed to participate. Eating disorder patients and controls answered a questionnaire and underwent dental clinical examinations. Multivariate analysis identified significantly higher ORs for ED patients to present dental problems (OR=4.1), burning tongue (OR=14.2), dry/cracked lips (OR=9.6), dental erosion (OR=8.5), and less gingival bleeding (OR=1.1) compared with healthy controls. Sensitivity and specificity for the correct classification of ED patients and controls using the five variables was 83% and 79%, respectively. The ED patients with vomiting/binge eating behaviors reported worse perceived oral health (OR=6.0) and had more dental erosion (OR=5.5) than those without such behavior. In ED patients with longer duration of the disease, dental erosion was significantly more common. In conclusion, oral health problems frequently affect ED patients, and this needs to be considered in patient assessment and treatment decisions. © 2012 Eur J Oral Sci.","author":[{"dropping-particle":"","family":"Johansson","given":"Ann Katrin","non-dropping-particle":"","parse-names":false,"suffix":""},{"dropping-particle":"","family":"Norring","given":"Claes","non-dropping-particle":"","parse-names":false,"suffix":""},{"dropping-particle":"","family":"Unell","given":"Lennart","non-dropping-particle":"","parse-names":false,"suffix":""},{"dropping-particle":"","family":"Johansson","given":"Anders","non-dropping-particle":"","parse-names":false,"suffix":""}],"container-title":"European Journal of Oral Sciences","id":"ITEM-1","issue":"1","issued":{"date-parts":[["2012"]]},"page":"61-68","title":"Eating disorders and oral health: A matched case-control study","type":"article-journal","volume":"120"},"uris":["http://www.mendeley.com/documents/?uuid=dc0c8958-d72a-4d46-b7d3-911ebefea98f"]}],"mendeley":{"formattedCitation":"&lt;sup&gt;19&lt;/sup&gt;","plainTextFormattedCitation":"19","previouslyFormattedCitation":"&lt;sup&gt;19&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19</w:t>
      </w:r>
      <w:r w:rsidR="002D0DC8">
        <w:rPr>
          <w:rFonts w:ascii="Georgia" w:eastAsia="Times New Roman" w:hAnsi="Georgia"/>
          <w:color w:val="0C0F19"/>
          <w:lang w:val="en-ID"/>
        </w:rPr>
        <w:fldChar w:fldCharType="end"/>
      </w:r>
      <w:r w:rsidRPr="00B4116C">
        <w:rPr>
          <w:rFonts w:ascii="Georgia" w:eastAsia="Times New Roman" w:hAnsi="Georgia"/>
          <w:color w:val="0C0F19"/>
          <w:position w:val="6"/>
          <w:lang w:val="en-ID"/>
        </w:rPr>
        <w:t xml:space="preserve"> </w:t>
      </w:r>
      <w:r w:rsidRPr="00B4116C">
        <w:rPr>
          <w:rFonts w:ascii="Georgia" w:eastAsia="Times New Roman" w:hAnsi="Georgia"/>
          <w:color w:val="0C0F19"/>
          <w:lang w:val="en-ID"/>
        </w:rPr>
        <w:t xml:space="preserve">Pasien dengan </w:t>
      </w:r>
      <w:r w:rsidR="00A77745">
        <w:rPr>
          <w:rFonts w:ascii="Georgia" w:eastAsia="Times New Roman" w:hAnsi="Georgia"/>
          <w:color w:val="0C0F19"/>
          <w:lang w:val="en-ID"/>
        </w:rPr>
        <w:t>anoreksia nervosa (</w:t>
      </w:r>
      <w:r w:rsidRPr="00B4116C">
        <w:rPr>
          <w:rFonts w:ascii="Georgia" w:eastAsia="Times New Roman" w:hAnsi="Georgia"/>
          <w:color w:val="0C0F19"/>
          <w:lang w:val="en-ID"/>
        </w:rPr>
        <w:t>AN</w:t>
      </w:r>
      <w:r w:rsidR="00A77745">
        <w:rPr>
          <w:rFonts w:ascii="Georgia" w:eastAsia="Times New Roman" w:hAnsi="Georgia"/>
          <w:color w:val="0C0F19"/>
          <w:lang w:val="en-ID"/>
        </w:rPr>
        <w:t>)</w:t>
      </w:r>
      <w:r w:rsidRPr="00B4116C">
        <w:rPr>
          <w:rFonts w:ascii="Georgia" w:eastAsia="Times New Roman" w:hAnsi="Georgia"/>
          <w:color w:val="0C0F19"/>
          <w:lang w:val="en-ID"/>
        </w:rPr>
        <w:t xml:space="preserve"> menunjukkan kondisi periodontal yang lebih buruk dengan peradangan gingiva dan CAL yang lebih tinggi daripada pasien </w:t>
      </w:r>
      <w:r w:rsidR="00A77745">
        <w:rPr>
          <w:rFonts w:ascii="Georgia" w:eastAsia="Times New Roman" w:hAnsi="Georgia"/>
          <w:color w:val="0C0F19"/>
          <w:lang w:val="en-ID"/>
        </w:rPr>
        <w:t>bulimia nervosa (</w:t>
      </w:r>
      <w:r w:rsidRPr="00B4116C">
        <w:rPr>
          <w:rFonts w:ascii="Georgia" w:eastAsia="Times New Roman" w:hAnsi="Georgia"/>
          <w:color w:val="0C0F19"/>
          <w:lang w:val="en-ID"/>
        </w:rPr>
        <w:t>BN</w:t>
      </w:r>
      <w:r w:rsidR="00A77745">
        <w:rPr>
          <w:rFonts w:ascii="Georgia" w:eastAsia="Times New Roman" w:hAnsi="Georgia"/>
          <w:color w:val="0C0F19"/>
          <w:lang w:val="en-ID"/>
        </w:rPr>
        <w:t>)</w:t>
      </w:r>
      <w:r w:rsidRPr="00B4116C">
        <w:rPr>
          <w:rFonts w:ascii="Georgia" w:eastAsia="Times New Roman" w:hAnsi="Georgia"/>
          <w:color w:val="0C0F19"/>
          <w:lang w:val="en-ID"/>
        </w:rPr>
        <w:t>.</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22</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t xml:space="preserve">Selain itu, pasien dengan AN melaporkan bahwa mereka menyikat gigi lebih sering daripada pasien BN. Menurut penelitian, pasien AN kurang berhasil dibandingkan pasien BN dalam mengendalikan plak, yang menyebabkan </w:t>
      </w:r>
      <w:r w:rsidR="00A77745">
        <w:rPr>
          <w:rFonts w:ascii="Georgia" w:eastAsia="Times New Roman" w:hAnsi="Georgia"/>
          <w:color w:val="0C0F19"/>
          <w:lang w:val="en-ID"/>
        </w:rPr>
        <w:t>gingivitis</w:t>
      </w:r>
      <w:r w:rsidRPr="00B4116C">
        <w:rPr>
          <w:rFonts w:ascii="Georgia" w:eastAsia="Times New Roman" w:hAnsi="Georgia"/>
          <w:color w:val="0C0F19"/>
          <w:lang w:val="en-ID"/>
        </w:rPr>
        <w:t>.</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22</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p>
    <w:p w:rsidR="00590C72" w:rsidRDefault="00B4116C" w:rsidP="00590C72">
      <w:pPr>
        <w:pStyle w:val="Default"/>
        <w:spacing w:line="480" w:lineRule="auto"/>
        <w:ind w:firstLine="340"/>
        <w:jc w:val="both"/>
        <w:rPr>
          <w:rFonts w:ascii="Georgia" w:eastAsia="Times New Roman" w:hAnsi="Georgia"/>
          <w:position w:val="6"/>
          <w:lang w:val="en-ID"/>
        </w:rPr>
      </w:pPr>
      <w:r w:rsidRPr="00B4116C">
        <w:rPr>
          <w:rFonts w:ascii="Georgia" w:eastAsia="Times New Roman" w:hAnsi="Georgia"/>
          <w:color w:val="0C0F19"/>
          <w:lang w:val="en-ID"/>
        </w:rPr>
        <w:t xml:space="preserve">Perdarahan gingiva pada pasien AN </w:t>
      </w:r>
      <w:r w:rsidR="00A77745">
        <w:rPr>
          <w:rFonts w:ascii="Georgia" w:eastAsia="Times New Roman" w:hAnsi="Georgia"/>
          <w:color w:val="0C0F19"/>
          <w:lang w:val="en-ID"/>
        </w:rPr>
        <w:t>berkaitan</w:t>
      </w:r>
      <w:r w:rsidRPr="00B4116C">
        <w:rPr>
          <w:rFonts w:ascii="Georgia" w:eastAsia="Times New Roman" w:hAnsi="Georgia"/>
          <w:color w:val="0C0F19"/>
          <w:lang w:val="en-ID"/>
        </w:rPr>
        <w:t xml:space="preserve"> dengan karies gigi dan kebersihan mulut yang buruk.</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{"citationItems":[{"id":"ITEM-1","itemData":{"DOI":"10.3389/fpsyt.2022.874263","ISSN":"16640640","abstract":"Introduction: Restrictive type of anorexia nervosa (AN) is still one of the most severe eating disorders worldwide with an uncertain prognosis. Patients affected by AN should be encouraged to undertake psychiatric care and psychotherapy, but whether they should necessarily be included in careful dental care or not may still be questionable. Even though there is a constantly increasing number of AN studies, there are just a few data about the youngest group of AN children and adolescents aged &lt; 18. Methodology: This case-control study aimed to compare the dental health and gingival inflammation level in female adolescent inpatients affected by severe AN restrictive subtype vs. controls. Based on clinically confirmed 117 AN cases (hospitalized in years 2016–2020 in public Psychiatric Unit, BMI &lt; 15 kg/m2, mean age 14.9 ± 1.8), the dental status has been examined regarding the occurrence of caries lesions using Decay Missing Filling Teeth (DMFT), erosive wear as Basic Erosive Wear Examination (BEWE), gingival condition as Bleeding on Probing (BOP) and plaque deposition as Plaque Control Record (PCR). The results were compared with age-matched 103 female dental patients (BMI 19.8 ± 2.3 kg/m2, age 15.0 ± 1.8, p = 0.746) treated in a public University dental clinic. Results: AN patients were found to present a higher incidence of oral-related complications according to dental status (DMFT 3.8 ± 4.5 vs. 1.9 ± 2.1, p = 0.005), erosive tooth wear (BEWE 18.9 vs. 2.9%, p &lt; 0.001), less efficient in controlling plaque (PCR 43.8 vs. 13.7%, p &lt; 0.001) and gingival inflammation (BOP 20.0 vs. 3.9%, p &lt; 0.001) compared with female adolescents. In the AN group, a significant correlation between BOP, BEWE, and duration of AN disease (p &lt; 0.05), similarly to the number of decayed teeth D, filled teeth F and PCR were detected (p &lt; 0.05). Conclusions: Although the obtained results did not reveal any severe oral status, our findings indicated impaired dental and gingival conditions in young anorexics. Considering AN's potential role in oral health, it is essential to monitor dental treatment needs and oral hygiene levels in their present status to prevent forward complications in the future.","author":[{"dropping-particle":"","family":"Paszynska","given":"Elzbieta","non-dropping-particle":"","parse-names":false,"suffix":""},{"dropping-particle":"","family":"Hernik","given":"Amadeusz","non-dropping-particle":"","parse-names":false,"suffix":""},{"dropping-particle":"","family":"Slopien","given":"Agnieszka","non-dropping-particle":"","parse-names":false,"suffix":""},{"dropping-particle":"","family":"Roszak","given":"Magdalena","non-dropping-particle":"","parse-names":false,"suffix":""},{"dropping-particle":"","family":"Jowik","given":"Katarzyna","non-dropping-particle":"","parse-names":false,"suffix":""},{"dropping-particle":"","family":"Dmitrzak-Weglarz","given":"Monika","non-dropping-particle":"","parse-names":false,"suffix":""},{"dropping-particle":"","family":"Tyszkiewicz-Nwafor","given":"Marta","non-dropping-particle":"","parse-names":false,"suffix":""}],"container-title":"Frontiers in Psychiatry","id":"ITEM-1","issue":"May","issued":{"date-parts":[["2022"]]},"page":"1-13","title":"Risk of Dental Caries and Erosive Tooth Wear in 117 Children and Adolescents' Anorexia Nervosa Population—A Case-Control Study","type":"article-journal","volume":"13"},"uris":["http://www.mendeley.com/documents/?uuid=97a9fc7f-4ad9-424d-99a9-9be763db443c"]}],"mendeley":{"formattedCitation":"&lt;sup&gt;21&lt;/sup&gt;","plainTextFormattedCitation":"21","previouslyFormattedCitation":"&lt;sup&gt;21&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21</w:t>
      </w:r>
      <w:r w:rsidR="002D0DC8">
        <w:rPr>
          <w:rFonts w:ascii="Georgia" w:eastAsia="Times New Roman" w:hAnsi="Georgia"/>
          <w:color w:val="0C0F19"/>
          <w:lang w:val="en-ID"/>
        </w:rPr>
        <w:fldChar w:fldCharType="end"/>
      </w:r>
      <w:r w:rsidRPr="00B4116C">
        <w:rPr>
          <w:rFonts w:ascii="Georgia" w:eastAsia="Times New Roman" w:hAnsi="Georgia"/>
          <w:color w:val="0C0F19"/>
          <w:position w:val="6"/>
          <w:lang w:val="en-ID"/>
        </w:rPr>
        <w:t xml:space="preserve"> </w:t>
      </w:r>
      <w:r w:rsidRPr="00B4116C">
        <w:rPr>
          <w:rFonts w:ascii="Georgia" w:eastAsia="Times New Roman" w:hAnsi="Georgia"/>
          <w:color w:val="0C0F19"/>
          <w:lang w:val="en-ID"/>
        </w:rPr>
        <w:t xml:space="preserve">Temuan lain menunjukkan bahwa </w:t>
      </w:r>
      <w:r w:rsidR="00A77745">
        <w:rPr>
          <w:rFonts w:ascii="Georgia" w:eastAsia="Times New Roman" w:hAnsi="Georgia"/>
          <w:color w:val="0C0F19"/>
          <w:lang w:val="en-ID"/>
        </w:rPr>
        <w:t xml:space="preserve">terdapat </w:t>
      </w:r>
      <w:r w:rsidRPr="00B4116C">
        <w:rPr>
          <w:rFonts w:ascii="Georgia" w:eastAsia="Times New Roman" w:hAnsi="Georgia"/>
          <w:color w:val="0C0F19"/>
          <w:lang w:val="en-ID"/>
        </w:rPr>
        <w:t xml:space="preserve">komplikasi kekurangan nutrisi, terutama pada </w:t>
      </w:r>
      <w:r w:rsidR="00A77745">
        <w:rPr>
          <w:rFonts w:ascii="Georgia" w:eastAsia="Times New Roman" w:hAnsi="Georgia"/>
          <w:color w:val="0C0F19"/>
          <w:lang w:val="en-ID"/>
        </w:rPr>
        <w:t xml:space="preserve">pasien </w:t>
      </w:r>
      <w:r w:rsidRPr="00B4116C">
        <w:rPr>
          <w:rFonts w:ascii="Georgia" w:eastAsia="Times New Roman" w:hAnsi="Georgia"/>
          <w:color w:val="0C0F19"/>
          <w:lang w:val="en-ID"/>
        </w:rPr>
        <w:t>AN yang parah, dapat berdampak cepat pada masalah medis dan kemungkinan peradangan gingiva. Perilaku menyikat gigi yang obsesif diasumsikan dapat melukai periodonsium.</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{"citationItems":[{"id":"ITEM-1","itemData":{"DOI":"10.3389/fpsyt.2022.874263","ISSN":"16640640","abstract":"Introduction: Restrictive type of anorexia nervosa (AN) is still one of the most severe eating disorders worldwide with an uncertain prognosis. Patients affected by AN should be encouraged to undertake psychiatric care and psychotherapy, but whether they should necessarily be included in careful dental care or not may still be questionable. Even though there is a constantly increasing number of AN studies, there are just a few data about the youngest group of AN children and adolescents aged &lt; 18. Methodology: This case-control study aimed to compare the dental health and gingival inflammation level in female adolescent inpatients affected by severe AN restrictive subtype vs. controls. Based on clinically confirmed 117 AN cases (hospitalized in years 2016–2020 in public Psychiatric Unit, BMI &lt; 15 kg/m2, mean age 14.9 ± 1.8), the dental status has been examined regarding the occurrence of caries lesions using Decay Missing Filling Teeth (DMFT), erosive wear as Basic Erosive Wear Examination (BEWE), gingival condition as Bleeding on Probing (BOP) and plaque deposition as Plaque Control Record (PCR). The results were compared with age-matched 103 female dental patients (BMI 19.8 ± 2.3 kg/m2, age 15.0 ± 1.8, p = 0.746) treated in a public University dental clinic. Results: AN patients were found to present a higher incidence of oral-related complications according to dental status (DMFT 3.8 ± 4.5 vs. 1.9 ± 2.1, p = 0.005), erosive tooth wear (BEWE 18.9 vs. 2.9%, p &lt; 0.001), less efficient in controlling plaque (PCR 43.8 vs. 13.7%, p &lt; 0.001) and gingival inflammation (BOP 20.0 vs. 3.9%, p &lt; 0.001) compared with female adolescents. In the AN group, a significant correlation between BOP, BEWE, and duration of AN disease (p &lt; 0.05), similarly to the number of decayed teeth D, filled teeth F and PCR were detected (p &lt; 0.05). Conclusions: Although the obtained results did not reveal any severe oral status, our findings indicated impaired dental and gingival conditions in young anorexics. Considering AN's potential role in oral health, it is essential to monitor dental treatment needs and oral hygiene levels in their present status to prevent forward complications in the future.","author":[{"dropping-particle":"","family":"Paszynska","given":"Elzbieta","non-dropping-particle":"","parse-names":false,"suffix":""},{"dropping-particle":"","family":"Hernik","given":"Amadeusz","non-dropping-particle":"","parse-names":false,"suffix":""},{"dropping-particle":"","family":"Slopien","given":"Agnieszka","non-dropping-particle":"","parse-names":false,"suffix":""},{"dropping-particle":"","family":"Roszak","given":"Magdalena","non-dropping-particle":"","parse-names":false,"suffix":""},{"dropping-particle":"","family":"Jowik","given":"Katarzyna","non-dropping-particle":"","parse-names":false,"suffix":""},{"dropping-particle":"","family":"Dmitrzak-Weglarz","given":"Monika","non-dropping-particle":"","parse-names":false,"suffix":""},{"dropping-particle":"","family":"Tyszkiewicz-Nwafor","given":"Marta","non-dropping-particle":"","parse-names":false,"suffix":""}],"container-title":"Frontiers in Psychiatry","id":"ITEM-1","issue":"May","issued":{"date-parts":[["2022"]]},"page":"1-13","title":"Risk of Dental Caries and Erosive Tooth Wear in 117 Children and Adolescents' Anorexia Nervosa Population—A Case-Control Study","type":"article-journal","volume":"13"},"uris":["http://www.mendeley.com/documents/?uuid=97a9fc7f-4ad9-424d-99a9-9be763db443c"]}],"mendeley":{"formattedCitation":"&lt;sup&gt;21&lt;/sup&gt;","plainTextFormattedCitation":"21","previouslyFormattedCitation":"&lt;sup&gt;21&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21</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t xml:space="preserve">Frekuensi menyikat gigi yang tinggi dan </w:t>
      </w:r>
      <w:r w:rsidR="00590C72">
        <w:rPr>
          <w:rFonts w:ascii="Georgia" w:eastAsia="Times New Roman" w:hAnsi="Georgia"/>
          <w:color w:val="0C0F19"/>
          <w:lang w:val="en-ID"/>
        </w:rPr>
        <w:t>m</w:t>
      </w:r>
      <w:r w:rsidRPr="00B4116C">
        <w:rPr>
          <w:rFonts w:ascii="Georgia" w:eastAsia="Times New Roman" w:hAnsi="Georgia"/>
          <w:color w:val="0C0F19"/>
          <w:lang w:val="en-ID"/>
        </w:rPr>
        <w:t xml:space="preserve">etode menyikat gigi </w:t>
      </w:r>
      <w:r w:rsidR="00590C72">
        <w:rPr>
          <w:rFonts w:ascii="Georgia" w:eastAsia="Times New Roman" w:hAnsi="Georgia"/>
          <w:color w:val="0C0F19"/>
          <w:lang w:val="en-ID"/>
        </w:rPr>
        <w:t>secara horizontal dan</w:t>
      </w:r>
      <w:r w:rsidRPr="00B4116C">
        <w:rPr>
          <w:rFonts w:ascii="Georgia" w:eastAsia="Times New Roman" w:hAnsi="Georgia"/>
          <w:color w:val="0C0F19"/>
          <w:lang w:val="en-ID"/>
        </w:rPr>
        <w:t xml:space="preserve"> traumatis adalah indikator risiko untuk resesi gingiva.</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22</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r w:rsidRPr="00B4116C">
        <w:rPr>
          <w:rFonts w:ascii="Georgia" w:eastAsia="Times New Roman" w:hAnsi="Georgia"/>
          <w:color w:val="0C0F19"/>
          <w:lang w:val="en-ID"/>
        </w:rPr>
        <w:t xml:space="preserve">Pasien dengan </w:t>
      </w:r>
      <w:r w:rsidR="00A77745">
        <w:rPr>
          <w:rFonts w:ascii="Georgia" w:eastAsia="Times New Roman" w:hAnsi="Georgia"/>
          <w:color w:val="0C0F19"/>
          <w:lang w:val="en-ID"/>
        </w:rPr>
        <w:t>gangguan</w:t>
      </w:r>
      <w:r w:rsidRPr="00B4116C">
        <w:rPr>
          <w:rFonts w:ascii="Georgia" w:eastAsia="Times New Roman" w:hAnsi="Georgia"/>
          <w:color w:val="0C0F19"/>
          <w:lang w:val="en-ID"/>
        </w:rPr>
        <w:t xml:space="preserve"> makan memiliki insiden menyikat gigi secara kompulsif dan resesi gingiva yang lebih tinggi.</w:t>
      </w:r>
      <w:r w:rsidRPr="00B4116C">
        <w:rPr>
          <w:rFonts w:ascii="Georgia" w:eastAsia="Times New Roman" w:hAnsi="Georgia"/>
          <w:position w:val="6"/>
          <w:lang w:val="en-ID"/>
        </w:rPr>
        <w:t xml:space="preserve"> </w:t>
      </w:r>
      <w:r w:rsidR="00A77745">
        <w:rPr>
          <w:rFonts w:ascii="Georgia" w:eastAsia="Times New Roman" w:hAnsi="Georgia"/>
          <w:color w:val="0C0F19"/>
          <w:lang w:val="en-ID"/>
        </w:rPr>
        <w:t>R</w:t>
      </w:r>
      <w:r w:rsidR="00A77745" w:rsidRPr="00B4116C">
        <w:rPr>
          <w:rFonts w:ascii="Georgia" w:eastAsia="Times New Roman" w:hAnsi="Georgia"/>
          <w:color w:val="0C0F19"/>
          <w:lang w:val="en-ID"/>
        </w:rPr>
        <w:t>isiko g</w:t>
      </w:r>
      <w:r w:rsidR="00A77745">
        <w:rPr>
          <w:rFonts w:ascii="Georgia" w:eastAsia="Times New Roman" w:hAnsi="Georgia"/>
          <w:color w:val="0C0F19"/>
          <w:lang w:val="en-ID"/>
        </w:rPr>
        <w:t>ingivitis</w:t>
      </w:r>
      <w:r w:rsidR="00A77745" w:rsidRPr="00B4116C">
        <w:rPr>
          <w:rFonts w:ascii="Georgia" w:eastAsia="Times New Roman" w:hAnsi="Georgia"/>
          <w:color w:val="0C0F19"/>
          <w:lang w:val="en-ID"/>
        </w:rPr>
        <w:t xml:space="preserve"> dan resesi </w:t>
      </w:r>
      <w:r w:rsidR="00A77745">
        <w:rPr>
          <w:rFonts w:ascii="Georgia" w:eastAsia="Times New Roman" w:hAnsi="Georgia"/>
          <w:color w:val="0C0F19"/>
          <w:lang w:val="en-ID"/>
        </w:rPr>
        <w:t>gingiva</w:t>
      </w:r>
      <w:r w:rsidR="00A77745" w:rsidRPr="00B4116C">
        <w:rPr>
          <w:rFonts w:ascii="Georgia" w:eastAsia="Times New Roman" w:hAnsi="Georgia"/>
          <w:color w:val="0C0F19"/>
          <w:lang w:val="en-ID"/>
        </w:rPr>
        <w:t xml:space="preserve"> lebih tinggi pada pasien dengan gangguan makan</w:t>
      </w:r>
      <w:r w:rsidR="00A77745">
        <w:rPr>
          <w:rFonts w:ascii="Georgia" w:eastAsia="Times New Roman" w:hAnsi="Georgia"/>
          <w:color w:val="0C0F19"/>
          <w:lang w:val="en-ID"/>
        </w:rPr>
        <w:t xml:space="preserve">. </w:t>
      </w:r>
      <w:r w:rsidRPr="00B4116C">
        <w:rPr>
          <w:rFonts w:ascii="Georgia" w:eastAsia="Times New Roman" w:hAnsi="Georgia"/>
          <w:color w:val="0C0F19"/>
          <w:lang w:val="en-ID"/>
        </w:rPr>
        <w:t>Secara keseluruhan, kesehatan gigi dan periodontal yang buruk lebih sering terjadi pada pasien dengan gangguan makan.</w:t>
      </w:r>
      <w:r w:rsidR="002D0DC8">
        <w:rPr>
          <w:rFonts w:ascii="Georgia" w:eastAsia="Times New Roman" w:hAnsi="Georgia"/>
          <w:color w:val="0C0F19"/>
          <w:lang w:val="en-ID"/>
        </w:rPr>
        <w:fldChar w:fldCharType="begin" w:fldLock="1"/>
      </w:r>
      <w:r w:rsidR="002D0DC8">
        <w:rPr>
          <w:rFonts w:ascii="Georgia" w:eastAsia="Times New Roman" w:hAnsi="Georgia"/>
          <w:color w:val="0C0F19"/>
          <w:lang w:val="en-ID"/>
        </w:rPr>
        <w:instrText>ADDIN CSL_CITATION {"citationItems":[{"id":"ITEM-1","itemData":{"DOI":"10.1016/j.jdent.2019.03.005","ISSN":"03005712","PMID":"30876949","abstract":"Objectives: This study evaluates dental and periodontal health in anorexia nervosa and bulimia nervosa patients. Methods: Seventy females with eating disorders (36 anorexia nervosa) attending a public hospital Psychiatry and Addiction unit were compared with age-matched controls (n = 70). Full-mouth examination and oral hygiene behaviours were recorded for all participants. Results: More frequent dental attendance and toothbrushing were observed in patients with eating disorders than in controls (p &lt; 0.01), while lower plaque index and bleeding on probing were observed in controls than in patients (p ≤ 0.03). Percentages of sites with gingival recession &gt;2 mm were higher in patients with eating disorders than in controls (2.3 ± 4.1 versus 0.0 ± 0.1, p &lt; 0.01). The BEWE score &gt;2 was significantly more frequent in bulimia nervosa patients than in anorexia nervosa patients (76.5% versus 41.7%, p &lt; 0.01). Regarding periodontal parameters, mean plaque index, bleeding on probing and clinical attachment loss were increased in anorexia nervosa patients compared to bulimia nervosa patients. Conclusions: The present data suggest different oral health approaches in eating disorder patients according to diagnosis type. Clinical significance: Periodontal and dental health should be considered rigorously in patients with eating disorders. Personalized oral hygiene recommendations and treatments can be delivered according to the type of eating disorder.","author":[{"dropping-particle":"","family":"Pallier","given":"Alice","non-dropping-particle":"","parse-names":false,"suffix":""},{"dropping-particle":"","family":"Karimova","given":"Anna","non-dropping-particle":"","parse-names":false,"suffix":""},{"dropping-particle":"","family":"Boillot","given":"Adrien","non-dropping-particle":"","parse-names":false,"suffix":""},{"dropping-particle":"","family":"Colon","given":"Pierre","non-dropping-particle":"","parse-names":false,"suffix":""},{"dropping-particle":"","family":"Ringuenet","given":"Damien","non-dropping-particle":"","parse-names":false,"suffix":""},{"dropping-particle":"","family":"Bouchard","given":"Philippe","non-dropping-particle":"","parse-names":false,"suffix":""},{"dropping-particle":"","family":"Rangé","given":"Hélène","non-dropping-particle":"","parse-names":false,"suffix":""}],"container-title":"Journal of Dentistry","id":"ITEM-1","issued":{"date-parts":[["2019"]]},"page":"55-59","publisher":"Elsevier","title":"Dental and periodontal health in adults with eating disorders: A case-control study","type":"article-journal","volume":"84"},"uris":["http://www.mendeley.com/documents/?uuid=b34170e0-090c-416a-a665-c56cdb23c0f1"]}],"mendeley":{"formattedCitation":"&lt;sup&gt;22&lt;/sup&gt;","plainTextFormattedCitation":"22","previouslyFormattedCitation":"&lt;sup&gt;22&lt;/sup&gt;"},"properties":{"noteIndex":0},"schema":"https://github.com/citation-style-language/schema/raw/master/csl-citation.json"}</w:instrText>
      </w:r>
      <w:r w:rsidR="002D0DC8">
        <w:rPr>
          <w:rFonts w:ascii="Georgia" w:eastAsia="Times New Roman" w:hAnsi="Georgia"/>
          <w:color w:val="0C0F19"/>
          <w:lang w:val="en-ID"/>
        </w:rPr>
        <w:fldChar w:fldCharType="separate"/>
      </w:r>
      <w:r w:rsidR="002D0DC8" w:rsidRPr="002D0DC8">
        <w:rPr>
          <w:rFonts w:ascii="Georgia" w:eastAsia="Times New Roman" w:hAnsi="Georgia"/>
          <w:noProof/>
          <w:color w:val="0C0F19"/>
          <w:vertAlign w:val="superscript"/>
          <w:lang w:val="en-ID"/>
        </w:rPr>
        <w:t>22</w:t>
      </w:r>
      <w:r w:rsidR="002D0DC8">
        <w:rPr>
          <w:rFonts w:ascii="Georgia" w:eastAsia="Times New Roman" w:hAnsi="Georgia"/>
          <w:color w:val="0C0F19"/>
          <w:lang w:val="en-ID"/>
        </w:rPr>
        <w:fldChar w:fldCharType="end"/>
      </w:r>
      <w:r w:rsidRPr="00B4116C">
        <w:rPr>
          <w:rFonts w:ascii="Georgia" w:eastAsia="Times New Roman" w:hAnsi="Georgia"/>
          <w:position w:val="6"/>
          <w:lang w:val="en-ID"/>
        </w:rPr>
        <w:t xml:space="preserve"> </w:t>
      </w:r>
    </w:p>
    <w:p w:rsidR="00FA1AB7" w:rsidRDefault="00FA1AB7" w:rsidP="00FA1AB7">
      <w:pPr>
        <w:pStyle w:val="Default"/>
        <w:spacing w:line="480" w:lineRule="auto"/>
        <w:jc w:val="both"/>
        <w:rPr>
          <w:rFonts w:ascii="Georgia" w:hAnsi="Georgia"/>
          <w:color w:val="auto"/>
        </w:rPr>
      </w:pPr>
    </w:p>
    <w:p w:rsidR="00590C72" w:rsidRDefault="00590C72" w:rsidP="00590C72">
      <w:pPr>
        <w:pStyle w:val="ListParagraph"/>
        <w:spacing w:after="0" w:line="480" w:lineRule="auto"/>
        <w:ind w:left="0"/>
        <w:jc w:val="both"/>
        <w:rPr>
          <w:rFonts w:ascii="Georgia" w:hAnsi="Georgia" w:cs="Times New Roman"/>
          <w:b/>
          <w:sz w:val="24"/>
          <w:szCs w:val="24"/>
        </w:rPr>
      </w:pPr>
      <w:r w:rsidRPr="00590C72">
        <w:rPr>
          <w:rFonts w:ascii="Georgia" w:hAnsi="Georgia" w:cs="Times New Roman"/>
          <w:b/>
          <w:sz w:val="24"/>
          <w:szCs w:val="24"/>
        </w:rPr>
        <w:t>Simpulan</w:t>
      </w:r>
    </w:p>
    <w:p w:rsidR="00590C72" w:rsidRPr="00590C72" w:rsidRDefault="00590C72" w:rsidP="00590C72">
      <w:pPr>
        <w:pStyle w:val="ListParagraph"/>
        <w:spacing w:after="0" w:line="480" w:lineRule="auto"/>
        <w:ind w:left="0"/>
        <w:jc w:val="both"/>
        <w:rPr>
          <w:rFonts w:ascii="Georgia" w:hAnsi="Georgia" w:cs="Times New Roman"/>
          <w:b/>
          <w:sz w:val="24"/>
          <w:szCs w:val="24"/>
        </w:rPr>
      </w:pPr>
      <w:r w:rsidRPr="00590C72">
        <w:rPr>
          <w:rFonts w:ascii="Georgia" w:eastAsia="Times New Roman" w:hAnsi="Georgia" w:cs="Times New Roman"/>
          <w:sz w:val="24"/>
          <w:szCs w:val="24"/>
          <w:lang w:val="en-ID" w:eastAsia="en-US"/>
        </w:rPr>
        <w:t xml:space="preserve">Status periodontal pada </w:t>
      </w:r>
      <w:r w:rsidR="00A37C8B">
        <w:rPr>
          <w:rFonts w:ascii="Georgia" w:eastAsia="Times New Roman" w:hAnsi="Georgia" w:cs="Times New Roman"/>
          <w:sz w:val="24"/>
          <w:szCs w:val="24"/>
          <w:lang w:val="en-ID" w:eastAsia="en-US"/>
        </w:rPr>
        <w:t>pasien</w:t>
      </w:r>
      <w:r w:rsidRPr="00590C72">
        <w:rPr>
          <w:rFonts w:ascii="Georgia" w:eastAsia="Times New Roman" w:hAnsi="Georgia" w:cs="Times New Roman"/>
          <w:sz w:val="24"/>
          <w:szCs w:val="24"/>
          <w:lang w:val="en-ID" w:eastAsia="en-US"/>
        </w:rPr>
        <w:t xml:space="preserve"> dengan gangguan makan bervariasi dalam cakupan tinjauan ini. Dapat disimpulkan bahwa </w:t>
      </w:r>
      <w:r w:rsidR="00A37C8B">
        <w:rPr>
          <w:rFonts w:ascii="Georgia" w:eastAsia="Times New Roman" w:hAnsi="Georgia" w:cs="Times New Roman"/>
          <w:sz w:val="24"/>
          <w:szCs w:val="24"/>
          <w:lang w:val="en-ID" w:eastAsia="en-US"/>
        </w:rPr>
        <w:t>pasien</w:t>
      </w:r>
      <w:r w:rsidRPr="00590C72">
        <w:rPr>
          <w:rFonts w:ascii="Georgia" w:eastAsia="Times New Roman" w:hAnsi="Georgia" w:cs="Times New Roman"/>
          <w:sz w:val="24"/>
          <w:szCs w:val="24"/>
          <w:lang w:val="en-ID" w:eastAsia="en-US"/>
        </w:rPr>
        <w:t xml:space="preserve"> dengan gangguan makan cenderung memiliki status periodontal yang lebih buruk daripada </w:t>
      </w:r>
      <w:r>
        <w:rPr>
          <w:rFonts w:ascii="Georgia" w:eastAsia="Times New Roman" w:hAnsi="Georgia" w:cs="Times New Roman"/>
          <w:sz w:val="24"/>
          <w:szCs w:val="24"/>
          <w:lang w:val="en-ID" w:eastAsia="en-US"/>
        </w:rPr>
        <w:t>individu yang</w:t>
      </w:r>
      <w:r w:rsidRPr="00590C72">
        <w:rPr>
          <w:rFonts w:ascii="Georgia" w:eastAsia="Times New Roman" w:hAnsi="Georgia" w:cs="Times New Roman"/>
          <w:sz w:val="24"/>
          <w:szCs w:val="24"/>
          <w:lang w:val="en-ID" w:eastAsia="en-US"/>
        </w:rPr>
        <w:t xml:space="preserve"> sehat. Hal ini dapat dipengaruhi oleh kebersihan mulut yang buruk dan praktik kebersihan mulut yang kurang efisien. </w:t>
      </w:r>
    </w:p>
    <w:p w:rsidR="00FA1AB7" w:rsidRDefault="00FA1AB7" w:rsidP="00590C72">
      <w:pPr>
        <w:pStyle w:val="Default"/>
        <w:spacing w:line="480" w:lineRule="auto"/>
        <w:jc w:val="both"/>
        <w:rPr>
          <w:rFonts w:ascii="Georgia" w:eastAsiaTheme="minorEastAsia" w:hAnsi="Georgia"/>
          <w:b/>
          <w:color w:val="auto"/>
          <w:lang w:eastAsia="id-ID"/>
        </w:rPr>
      </w:pPr>
    </w:p>
    <w:p w:rsidR="00A01440" w:rsidRDefault="00590C72" w:rsidP="00A01440">
      <w:pPr>
        <w:pStyle w:val="Default"/>
        <w:spacing w:line="480" w:lineRule="auto"/>
        <w:jc w:val="both"/>
        <w:rPr>
          <w:rFonts w:ascii="Georgia" w:eastAsiaTheme="minorEastAsia" w:hAnsi="Georgia"/>
          <w:b/>
          <w:color w:val="auto"/>
          <w:lang w:eastAsia="id-ID"/>
        </w:rPr>
      </w:pPr>
      <w:r w:rsidRPr="00E01B7B">
        <w:rPr>
          <w:rFonts w:ascii="Georgia" w:eastAsiaTheme="minorEastAsia" w:hAnsi="Georgia"/>
          <w:b/>
          <w:color w:val="auto"/>
          <w:lang w:eastAsia="id-ID"/>
        </w:rPr>
        <w:t>Konflik kepentingan</w:t>
      </w:r>
    </w:p>
    <w:p w:rsidR="00590C72" w:rsidRDefault="00A01440" w:rsidP="00A01440">
      <w:pPr>
        <w:pStyle w:val="Default"/>
        <w:spacing w:line="480" w:lineRule="auto"/>
        <w:jc w:val="both"/>
        <w:rPr>
          <w:rFonts w:ascii="Georgia" w:eastAsia="Times New Roman" w:hAnsi="Georgia"/>
          <w:lang w:val="en-ID"/>
        </w:rPr>
      </w:pPr>
      <w:r w:rsidRPr="00A01440">
        <w:rPr>
          <w:rFonts w:ascii="Georgia" w:eastAsia="Times New Roman" w:hAnsi="Georgia"/>
          <w:lang w:val="en-ID"/>
        </w:rPr>
        <w:t xml:space="preserve">Penulis menyatakan bahwa tidak ada konflik kepentingan dalam penulisan artikel ilmiah ini. </w:t>
      </w:r>
    </w:p>
    <w:p w:rsidR="00A01440" w:rsidRPr="00A01440" w:rsidRDefault="00A01440" w:rsidP="00A01440">
      <w:pPr>
        <w:pStyle w:val="Default"/>
        <w:spacing w:line="480" w:lineRule="auto"/>
        <w:jc w:val="both"/>
        <w:rPr>
          <w:rFonts w:ascii="Georgia" w:eastAsiaTheme="minorEastAsia" w:hAnsi="Georgia"/>
          <w:b/>
          <w:color w:val="auto"/>
          <w:lang w:val="en-US" w:eastAsia="id-ID"/>
        </w:rPr>
      </w:pPr>
    </w:p>
    <w:p w:rsidR="00590C72" w:rsidRDefault="00590C72" w:rsidP="00590C72">
      <w:pPr>
        <w:spacing w:after="0" w:line="480" w:lineRule="auto"/>
        <w:rPr>
          <w:rFonts w:ascii="Georgia" w:hAnsi="Georgia" w:cs="Times New Roman"/>
          <w:sz w:val="24"/>
          <w:szCs w:val="24"/>
        </w:rPr>
      </w:pPr>
      <w:r>
        <w:rPr>
          <w:rFonts w:ascii="Georgia" w:hAnsi="Georgia" w:cs="Times New Roman"/>
          <w:b/>
          <w:sz w:val="24"/>
          <w:szCs w:val="24"/>
        </w:rPr>
        <w:t>Ucapan Terima Kasih</w:t>
      </w:r>
    </w:p>
    <w:p w:rsidR="00590C72" w:rsidRPr="00590C72" w:rsidRDefault="00590C72" w:rsidP="00590C72">
      <w:pPr>
        <w:spacing w:after="0" w:line="480" w:lineRule="auto"/>
        <w:jc w:val="both"/>
        <w:rPr>
          <w:rFonts w:ascii="Georgia" w:hAnsi="Georgia" w:cs="Times New Roman"/>
          <w:sz w:val="24"/>
          <w:szCs w:val="24"/>
        </w:rPr>
      </w:pPr>
      <w:r w:rsidRPr="00590C72">
        <w:rPr>
          <w:rFonts w:ascii="Georgia" w:eastAsia="Times New Roman" w:hAnsi="Georgia" w:cs="Times New Roman"/>
          <w:sz w:val="24"/>
          <w:szCs w:val="24"/>
          <w:lang w:val="en-ID" w:eastAsia="en-US"/>
        </w:rPr>
        <w:t xml:space="preserve">Penulis ucapkan terima kasih kepada seluruh pihak yang terkait atas informasi yang diberikan dalam mendukung penelitian ini. </w:t>
      </w:r>
    </w:p>
    <w:p w:rsidR="00FA1AB7" w:rsidRDefault="00FA1AB7" w:rsidP="00B93502">
      <w:pPr>
        <w:spacing w:after="0" w:line="480" w:lineRule="auto"/>
        <w:jc w:val="both"/>
        <w:rPr>
          <w:rFonts w:ascii="Georgia" w:hAnsi="Georgia" w:cs="Times New Roman"/>
          <w:b/>
          <w:sz w:val="24"/>
          <w:szCs w:val="24"/>
        </w:rPr>
      </w:pPr>
    </w:p>
    <w:p w:rsidR="00FA1AB7" w:rsidRDefault="00590C72" w:rsidP="00FA1AB7">
      <w:pPr>
        <w:spacing w:after="0" w:line="480" w:lineRule="auto"/>
        <w:jc w:val="both"/>
        <w:rPr>
          <w:rFonts w:ascii="Georgia" w:hAnsi="Georgia" w:cs="Times New Roman"/>
          <w:b/>
          <w:sz w:val="24"/>
          <w:szCs w:val="24"/>
          <w:lang w:val="en-US"/>
        </w:rPr>
      </w:pPr>
      <w:r w:rsidRPr="00B93502">
        <w:rPr>
          <w:rFonts w:ascii="Georgia" w:hAnsi="Georgia" w:cs="Times New Roman"/>
          <w:b/>
          <w:sz w:val="24"/>
          <w:szCs w:val="24"/>
        </w:rPr>
        <w:t>Daftar Pustaka</w:t>
      </w:r>
      <w:r w:rsidR="0033206B">
        <w:rPr>
          <w:rFonts w:ascii="Georgia" w:hAnsi="Georgia" w:cs="Times New Roman"/>
          <w:b/>
          <w:sz w:val="24"/>
          <w:szCs w:val="24"/>
          <w:lang w:val="en-US"/>
        </w:rPr>
        <w:t xml:space="preserve">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b/>
          <w:sz w:val="24"/>
          <w:szCs w:val="24"/>
          <w:lang w:val="en-US"/>
        </w:rPr>
        <w:fldChar w:fldCharType="begin" w:fldLock="1"/>
      </w:r>
      <w:r w:rsidRPr="002D0DC8">
        <w:rPr>
          <w:rFonts w:ascii="Georgia" w:hAnsi="Georgia" w:cs="Times New Roman"/>
          <w:b/>
          <w:sz w:val="24"/>
          <w:szCs w:val="24"/>
          <w:lang w:val="en-US"/>
        </w:rPr>
        <w:instrText xml:space="preserve">ADDIN Mendeley Bibliography CSL_BIBLIOGRAPHY </w:instrText>
      </w:r>
      <w:r w:rsidRPr="002D0DC8">
        <w:rPr>
          <w:rFonts w:ascii="Georgia" w:hAnsi="Georgia" w:cs="Times New Roman"/>
          <w:b/>
          <w:sz w:val="24"/>
          <w:szCs w:val="24"/>
          <w:lang w:val="en-US"/>
        </w:rPr>
        <w:fldChar w:fldCharType="separate"/>
      </w:r>
      <w:r w:rsidRPr="002D0DC8">
        <w:rPr>
          <w:rFonts w:ascii="Georgia" w:hAnsi="Georgia" w:cs="Times New Roman"/>
          <w:noProof/>
          <w:sz w:val="24"/>
          <w:lang w:val="en-US"/>
        </w:rPr>
        <w:t xml:space="preserve">1. </w:t>
      </w:r>
      <w:r w:rsidRPr="002D0DC8">
        <w:rPr>
          <w:rFonts w:ascii="Georgia" w:hAnsi="Georgia" w:cs="Times New Roman"/>
          <w:noProof/>
          <w:sz w:val="24"/>
          <w:lang w:val="en-US"/>
        </w:rPr>
        <w:tab/>
        <w:t xml:space="preserve">Treasure J, Duarte TA, Schmidt U. Eating disorders. Lancet [Internet]. 2020;395(10227):899–911. </w:t>
      </w:r>
      <w:r>
        <w:rPr>
          <w:rFonts w:ascii="Georgia" w:hAnsi="Georgia" w:cs="Times New Roman"/>
          <w:noProof/>
          <w:sz w:val="24"/>
          <w:lang w:val="en-US"/>
        </w:rPr>
        <w:t>Tersedia dari</w:t>
      </w:r>
      <w:r w:rsidRPr="002D0DC8">
        <w:rPr>
          <w:rFonts w:ascii="Georgia" w:hAnsi="Georgia" w:cs="Times New Roman"/>
          <w:noProof/>
          <w:sz w:val="24"/>
          <w:lang w:val="en-US"/>
        </w:rPr>
        <w:t>: http://dx.doi.org/10.1016/S0140-6736(20)30059-3</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2. </w:t>
      </w:r>
      <w:r w:rsidRPr="002D0DC8">
        <w:rPr>
          <w:rFonts w:ascii="Georgia" w:hAnsi="Georgia" w:cs="Times New Roman"/>
          <w:noProof/>
          <w:sz w:val="24"/>
          <w:lang w:val="en-US"/>
        </w:rPr>
        <w:tab/>
        <w:t>National Institute for Health and Care Excellence. Eating disorders</w:t>
      </w:r>
      <w:r w:rsidRPr="002D0DC8">
        <w:rPr>
          <w:rFonts w:ascii="Times New Roman" w:hAnsi="Times New Roman" w:cs="Times New Roman"/>
          <w:noProof/>
          <w:sz w:val="24"/>
          <w:lang w:val="en-US"/>
        </w:rPr>
        <w:t> </w:t>
      </w:r>
      <w:r w:rsidRPr="002D0DC8">
        <w:rPr>
          <w:rFonts w:ascii="Georgia" w:hAnsi="Georgia" w:cs="Times New Roman"/>
          <w:noProof/>
          <w:sz w:val="24"/>
          <w:lang w:val="en-US"/>
        </w:rPr>
        <w:t xml:space="preserve">: recognition and treatment. NICE Guid [Internet]. 2017;1–42. </w:t>
      </w:r>
      <w:r>
        <w:rPr>
          <w:rFonts w:ascii="Georgia" w:hAnsi="Georgia" w:cs="Times New Roman"/>
          <w:noProof/>
          <w:sz w:val="24"/>
          <w:lang w:val="en-US"/>
        </w:rPr>
        <w:t>Tersedia dari</w:t>
      </w:r>
      <w:r w:rsidRPr="002D0DC8">
        <w:rPr>
          <w:rFonts w:ascii="Georgia" w:hAnsi="Georgia" w:cs="Times New Roman"/>
          <w:noProof/>
          <w:sz w:val="24"/>
          <w:lang w:val="en-US"/>
        </w:rPr>
        <w:t>: www.nice.org.uk/guidance/ng69</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3. </w:t>
      </w:r>
      <w:r w:rsidRPr="002D0DC8">
        <w:rPr>
          <w:rFonts w:ascii="Georgia" w:hAnsi="Georgia" w:cs="Times New Roman"/>
          <w:noProof/>
          <w:sz w:val="24"/>
          <w:lang w:val="en-US"/>
        </w:rPr>
        <w:tab/>
        <w:t xml:space="preserve">Hilbert A, Pike KM, Goldschmidt AB, Wilfley DE, Fairburn CG, Dohm </w:t>
      </w:r>
      <w:r w:rsidRPr="002D0DC8">
        <w:rPr>
          <w:rFonts w:ascii="Georgia" w:hAnsi="Georgia" w:cs="Times New Roman"/>
          <w:noProof/>
          <w:sz w:val="24"/>
          <w:lang w:val="en-US"/>
        </w:rPr>
        <w:lastRenderedPageBreak/>
        <w:t xml:space="preserve">FA, et al. Risk factors across the eating disorders. Psychiatry Res [Internet]. 2014;220(1–2):500–6. </w:t>
      </w:r>
      <w:r>
        <w:rPr>
          <w:rFonts w:ascii="Georgia" w:hAnsi="Georgia" w:cs="Times New Roman"/>
          <w:noProof/>
          <w:sz w:val="24"/>
          <w:lang w:val="en-US"/>
        </w:rPr>
        <w:t>Tersedia dari</w:t>
      </w:r>
      <w:r w:rsidRPr="002D0DC8">
        <w:rPr>
          <w:rFonts w:ascii="Georgia" w:hAnsi="Georgia" w:cs="Times New Roman"/>
          <w:noProof/>
          <w:sz w:val="24"/>
          <w:lang w:val="en-US"/>
        </w:rPr>
        <w:t>: http://dx.doi.org/10.1016/j.psychres.2014.05.054</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4. </w:t>
      </w:r>
      <w:r w:rsidRPr="002D0DC8">
        <w:rPr>
          <w:rFonts w:ascii="Georgia" w:hAnsi="Georgia" w:cs="Times New Roman"/>
          <w:noProof/>
          <w:sz w:val="24"/>
          <w:lang w:val="en-US"/>
        </w:rPr>
        <w:tab/>
        <w:t xml:space="preserve">Rangé H, Colon P, Godart N, Kapila Y, Bouchard P. Eating disorders through the periodontal lens. Periodontol 2000. 2021;87(1):17–31.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5. </w:t>
      </w:r>
      <w:r w:rsidRPr="002D0DC8">
        <w:rPr>
          <w:rFonts w:ascii="Georgia" w:hAnsi="Georgia" w:cs="Times New Roman"/>
          <w:noProof/>
          <w:sz w:val="24"/>
          <w:lang w:val="en-US"/>
        </w:rPr>
        <w:tab/>
        <w:t xml:space="preserve">American Psychiatric Association. Diagnostic and Statistical Manual of Mentak Disorders (5th ed.). Arlington. American Psychiatric Publishing; 2013. 338, 345, 350 p.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6. </w:t>
      </w:r>
      <w:r w:rsidRPr="002D0DC8">
        <w:rPr>
          <w:rFonts w:ascii="Georgia" w:hAnsi="Georgia" w:cs="Times New Roman"/>
          <w:noProof/>
          <w:sz w:val="24"/>
          <w:lang w:val="en-US"/>
        </w:rPr>
        <w:tab/>
        <w:t xml:space="preserve">Zipfel S, Giel KE, Bulik CM, Hay P, Schmidt U. Anorexia nervosa: Aetiology, assessment, and treatment. The Lancet Psychiatry [Internet]. 2015;2(12):1099–111. </w:t>
      </w:r>
      <w:r>
        <w:rPr>
          <w:rFonts w:ascii="Georgia" w:hAnsi="Georgia" w:cs="Times New Roman"/>
          <w:noProof/>
          <w:sz w:val="24"/>
          <w:lang w:val="en-US"/>
        </w:rPr>
        <w:t>Tersedia dari</w:t>
      </w:r>
      <w:r w:rsidRPr="002D0DC8">
        <w:rPr>
          <w:rFonts w:ascii="Georgia" w:hAnsi="Georgia" w:cs="Times New Roman"/>
          <w:noProof/>
          <w:sz w:val="24"/>
          <w:lang w:val="en-US"/>
        </w:rPr>
        <w:t>: http://dx.doi.org/10.1016/S2215-0366(15)00356-9</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7. </w:t>
      </w:r>
      <w:r w:rsidRPr="002D0DC8">
        <w:rPr>
          <w:rFonts w:ascii="Georgia" w:hAnsi="Georgia" w:cs="Times New Roman"/>
          <w:noProof/>
          <w:sz w:val="24"/>
          <w:lang w:val="en-US"/>
        </w:rPr>
        <w:tab/>
        <w:t xml:space="preserve">Nitsch A, Dlugosz H, Gibson D, Mehler PS. Medical complications of bulimia nervosa. Cleve Clin J Med. 2021;88(6):333–43.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8. </w:t>
      </w:r>
      <w:r w:rsidRPr="002D0DC8">
        <w:rPr>
          <w:rFonts w:ascii="Georgia" w:hAnsi="Georgia" w:cs="Times New Roman"/>
          <w:noProof/>
          <w:sz w:val="24"/>
          <w:lang w:val="en-US"/>
        </w:rPr>
        <w:tab/>
        <w:t xml:space="preserve">Guerdjikova AI, Mori N, Casuto LS, McElroy SL. Update on Binge Eating Disorder. Med Clin North Am. 2019;103(4):669–80.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9. </w:t>
      </w:r>
      <w:r w:rsidRPr="002D0DC8">
        <w:rPr>
          <w:rFonts w:ascii="Georgia" w:hAnsi="Georgia" w:cs="Times New Roman"/>
          <w:noProof/>
          <w:sz w:val="24"/>
          <w:lang w:val="en-US"/>
        </w:rPr>
        <w:tab/>
        <w:t xml:space="preserve">Campbell K, Peebles R. Eating disorders in children and adolescents: State of the art review. Pediatrics. 2014;134(3):582–92.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10. </w:t>
      </w:r>
      <w:r w:rsidRPr="002D0DC8">
        <w:rPr>
          <w:rFonts w:ascii="Georgia" w:hAnsi="Georgia" w:cs="Times New Roman"/>
          <w:noProof/>
          <w:sz w:val="24"/>
          <w:lang w:val="en-US"/>
        </w:rPr>
        <w:tab/>
        <w:t xml:space="preserve">Keel PK, Forney KJ. Psychosocial risk factors for eating disorders. Int J Eat Disord. 2013;46(5):433–9.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11. </w:t>
      </w:r>
      <w:r w:rsidRPr="002D0DC8">
        <w:rPr>
          <w:rFonts w:ascii="Georgia" w:hAnsi="Georgia" w:cs="Times New Roman"/>
          <w:noProof/>
          <w:sz w:val="24"/>
          <w:lang w:val="en-US"/>
        </w:rPr>
        <w:tab/>
        <w:t xml:space="preserve">Galmiche M, Déchelotte P, Lambert G, Tavolacci MP. Prevalence of eating disorders over the 2000-2018 period: A systematic literature review. Am J Clin Nutr. 2019;109(5):1402–13.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12. </w:t>
      </w:r>
      <w:r w:rsidRPr="002D0DC8">
        <w:rPr>
          <w:rFonts w:ascii="Georgia" w:hAnsi="Georgia" w:cs="Times New Roman"/>
          <w:noProof/>
          <w:sz w:val="24"/>
          <w:lang w:val="en-US"/>
        </w:rPr>
        <w:tab/>
        <w:t xml:space="preserve">Hasna A. Diagnosis dan Tatalaksana Bulimia Nervosa. J Med </w:t>
      </w:r>
      <w:r w:rsidRPr="002D0DC8">
        <w:rPr>
          <w:rFonts w:ascii="Georgia" w:hAnsi="Georgia" w:cs="Times New Roman"/>
          <w:noProof/>
          <w:sz w:val="24"/>
          <w:lang w:val="en-US"/>
        </w:rPr>
        <w:lastRenderedPageBreak/>
        <w:t xml:space="preserve">Hutama. 2021;02(04):1218–9.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13. </w:t>
      </w:r>
      <w:r w:rsidRPr="002D0DC8">
        <w:rPr>
          <w:rFonts w:ascii="Georgia" w:hAnsi="Georgia" w:cs="Times New Roman"/>
          <w:noProof/>
          <w:sz w:val="24"/>
          <w:lang w:val="en-US"/>
        </w:rPr>
        <w:tab/>
        <w:t xml:space="preserve">Virgandiri S, Lestari DR ZR. Relationship of body image with eating disorder in female adolescent. J Ilmu Keperawatan (Journal Nurs Sci. 2020;8(1):53–9.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14. </w:t>
      </w:r>
      <w:r w:rsidRPr="002D0DC8">
        <w:rPr>
          <w:rFonts w:ascii="Georgia" w:hAnsi="Georgia" w:cs="Times New Roman"/>
          <w:noProof/>
          <w:sz w:val="24"/>
          <w:lang w:val="en-US"/>
        </w:rPr>
        <w:tab/>
        <w:t xml:space="preserve">Radler DR, Lister T. Nutrient deficiencies associated with nutrition-focused physical findings of the oral cavity. Nutr Clin Pract. 2013;28(6):710–21.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15. </w:t>
      </w:r>
      <w:r w:rsidRPr="002D0DC8">
        <w:rPr>
          <w:rFonts w:ascii="Georgia" w:hAnsi="Georgia" w:cs="Times New Roman"/>
          <w:noProof/>
          <w:sz w:val="24"/>
          <w:lang w:val="en-US"/>
        </w:rPr>
        <w:tab/>
        <w:t xml:space="preserve">Tolkachjov SN, Bruce AJ. Oral manifestations of nutritional disorders. Clin Dermatol [Internet]. 2017;35(5):441–52. </w:t>
      </w:r>
      <w:r>
        <w:rPr>
          <w:rFonts w:ascii="Georgia" w:hAnsi="Georgia" w:cs="Times New Roman"/>
          <w:noProof/>
          <w:sz w:val="24"/>
          <w:lang w:val="en-US"/>
        </w:rPr>
        <w:t>Tersedia dari</w:t>
      </w:r>
      <w:r w:rsidRPr="002D0DC8">
        <w:rPr>
          <w:rFonts w:ascii="Georgia" w:hAnsi="Georgia" w:cs="Times New Roman"/>
          <w:noProof/>
          <w:sz w:val="24"/>
          <w:lang w:val="en-US"/>
        </w:rPr>
        <w:t>: http://dx.doi.org/10.1016/j.clindermatol.2017.06.009</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16. </w:t>
      </w:r>
      <w:r w:rsidRPr="002D0DC8">
        <w:rPr>
          <w:rFonts w:ascii="Georgia" w:hAnsi="Georgia" w:cs="Times New Roman"/>
          <w:noProof/>
          <w:sz w:val="24"/>
          <w:lang w:val="en-US"/>
        </w:rPr>
        <w:tab/>
        <w:t xml:space="preserve">Romanos GE, Javed F, Romanos EB, Williams RC. Oro-facial manifestations in patients with eating disorders. Appetite [Internet]. 2012;59(2):499–504. </w:t>
      </w:r>
      <w:r>
        <w:rPr>
          <w:rFonts w:ascii="Georgia" w:hAnsi="Georgia" w:cs="Times New Roman"/>
          <w:noProof/>
          <w:sz w:val="24"/>
          <w:lang w:val="en-US"/>
        </w:rPr>
        <w:t>Tersedia dari</w:t>
      </w:r>
      <w:r w:rsidRPr="002D0DC8">
        <w:rPr>
          <w:rFonts w:ascii="Georgia" w:hAnsi="Georgia" w:cs="Times New Roman"/>
          <w:noProof/>
          <w:sz w:val="24"/>
          <w:lang w:val="en-US"/>
        </w:rPr>
        <w:t>: http://dx.doi.org/10.1016/j.appet.2012.06.016</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17. </w:t>
      </w:r>
      <w:r w:rsidRPr="002D0DC8">
        <w:rPr>
          <w:rFonts w:ascii="Georgia" w:hAnsi="Georgia" w:cs="Times New Roman"/>
          <w:noProof/>
          <w:sz w:val="24"/>
          <w:lang w:val="en-US"/>
        </w:rPr>
        <w:tab/>
        <w:t xml:space="preserve">Panico R, Piemonte E, Lazos J, Gilligan G, Zampini A, Lanfranchi H. Oral mucosal lesions in Anorexia Nervosa, Bulimia Nervosa and EDNOS. J Psychiatr Res [Internet]. 2018;96:178–82. </w:t>
      </w:r>
      <w:r>
        <w:rPr>
          <w:rFonts w:ascii="Georgia" w:hAnsi="Georgia" w:cs="Times New Roman"/>
          <w:noProof/>
          <w:sz w:val="24"/>
          <w:lang w:val="en-US"/>
        </w:rPr>
        <w:t>Tersedia dari</w:t>
      </w:r>
      <w:r w:rsidRPr="002D0DC8">
        <w:rPr>
          <w:rFonts w:ascii="Georgia" w:hAnsi="Georgia" w:cs="Times New Roman"/>
          <w:noProof/>
          <w:sz w:val="24"/>
          <w:lang w:val="en-US"/>
        </w:rPr>
        <w:t>: https://doi.org/10.1016/j.jpsychires.2017.09.022</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18. </w:t>
      </w:r>
      <w:r w:rsidRPr="002D0DC8">
        <w:rPr>
          <w:rFonts w:ascii="Georgia" w:hAnsi="Georgia" w:cs="Times New Roman"/>
          <w:noProof/>
          <w:sz w:val="24"/>
          <w:lang w:val="en-US"/>
        </w:rPr>
        <w:tab/>
        <w:t xml:space="preserve">Chiba FY, Sumida DH, Moimaz SAS, Neto AHC, Nakamune ACM, Garbin AJI  et al. Periodontal condition, changes in salivary biochemical parameters, and oral health-related quality of life in patients with anorexia and bulimia nervosa. J Periodontol. 2019;90(12):1423–30.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19. </w:t>
      </w:r>
      <w:r w:rsidRPr="002D0DC8">
        <w:rPr>
          <w:rFonts w:ascii="Georgia" w:hAnsi="Georgia" w:cs="Times New Roman"/>
          <w:noProof/>
          <w:sz w:val="24"/>
          <w:lang w:val="en-US"/>
        </w:rPr>
        <w:tab/>
        <w:t xml:space="preserve">Johansson AK, Norring C, Unell L, Johansson A. Eating disorders and </w:t>
      </w:r>
      <w:r w:rsidRPr="002D0DC8">
        <w:rPr>
          <w:rFonts w:ascii="Georgia" w:hAnsi="Georgia" w:cs="Times New Roman"/>
          <w:noProof/>
          <w:sz w:val="24"/>
          <w:lang w:val="en-US"/>
        </w:rPr>
        <w:lastRenderedPageBreak/>
        <w:t xml:space="preserve">oral health: A matched case-control study. Eur J Oral Sci. 2012;120(1):61–8.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20. </w:t>
      </w:r>
      <w:r w:rsidRPr="002D0DC8">
        <w:rPr>
          <w:rFonts w:ascii="Georgia" w:hAnsi="Georgia" w:cs="Times New Roman"/>
          <w:noProof/>
          <w:sz w:val="24"/>
          <w:lang w:val="en-US"/>
        </w:rPr>
        <w:tab/>
        <w:t xml:space="preserve">Garrido-Martínez P, Domínguez-Gordillo A, Cerero-Lapiedra R, Bur-Gueño-García M, Martínez-Ramírez MJ, Gómez-Candela C, et al. Oral and dental health status in patients with eating disorders in Madrid, Spain. Med Oral Patol Oral y Cir Bucal. 2019;24(5):e595–602.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cs="Times New Roman"/>
          <w:noProof/>
          <w:sz w:val="24"/>
          <w:lang w:val="en-US"/>
        </w:rPr>
      </w:pPr>
      <w:r w:rsidRPr="002D0DC8">
        <w:rPr>
          <w:rFonts w:ascii="Georgia" w:hAnsi="Georgia" w:cs="Times New Roman"/>
          <w:noProof/>
          <w:sz w:val="24"/>
          <w:lang w:val="en-US"/>
        </w:rPr>
        <w:t xml:space="preserve">21. </w:t>
      </w:r>
      <w:r w:rsidRPr="002D0DC8">
        <w:rPr>
          <w:rFonts w:ascii="Georgia" w:hAnsi="Georgia" w:cs="Times New Roman"/>
          <w:noProof/>
          <w:sz w:val="24"/>
          <w:lang w:val="en-US"/>
        </w:rPr>
        <w:tab/>
        <w:t xml:space="preserve">Paszynska E, Hernik A, Slopien A, Roszak M, Jowik K, Dmitrzak-Weglarz M, et al. Risk of Dental Caries and Erosive Tooth Wear in 117 Children and Adolescents’ Anorexia Nervosa Population—A Case-Control Study. Front Psychiatry. 2022;13(May):1–13. </w:t>
      </w:r>
    </w:p>
    <w:p w:rsidR="002D0DC8" w:rsidRPr="002D0DC8" w:rsidRDefault="002D0DC8" w:rsidP="002D0DC8">
      <w:pPr>
        <w:widowControl w:val="0"/>
        <w:autoSpaceDE w:val="0"/>
        <w:autoSpaceDN w:val="0"/>
        <w:adjustRightInd w:val="0"/>
        <w:spacing w:after="0" w:line="480" w:lineRule="auto"/>
        <w:ind w:left="640" w:hanging="640"/>
        <w:jc w:val="both"/>
        <w:rPr>
          <w:rFonts w:ascii="Georgia" w:hAnsi="Georgia"/>
          <w:noProof/>
          <w:sz w:val="24"/>
        </w:rPr>
      </w:pPr>
      <w:r w:rsidRPr="002D0DC8">
        <w:rPr>
          <w:rFonts w:ascii="Georgia" w:hAnsi="Georgia" w:cs="Times New Roman"/>
          <w:noProof/>
          <w:sz w:val="24"/>
          <w:lang w:val="en-US"/>
        </w:rPr>
        <w:t xml:space="preserve">22. </w:t>
      </w:r>
      <w:r w:rsidRPr="002D0DC8">
        <w:rPr>
          <w:rFonts w:ascii="Georgia" w:hAnsi="Georgia" w:cs="Times New Roman"/>
          <w:noProof/>
          <w:sz w:val="24"/>
          <w:lang w:val="en-US"/>
        </w:rPr>
        <w:tab/>
        <w:t xml:space="preserve">Pallier A, Karimova A, Boillot A, Colon P, Ringuenet D, Bouchard P, et al. Dental and periodontal health in adults with eating disorders: A case-control study. J Dent [Internet]. 2019;84:55–9. </w:t>
      </w:r>
      <w:r w:rsidR="00A01440">
        <w:rPr>
          <w:rFonts w:ascii="Georgia" w:hAnsi="Georgia" w:cs="Times New Roman"/>
          <w:noProof/>
          <w:sz w:val="24"/>
          <w:lang w:val="en-US"/>
        </w:rPr>
        <w:t>Tersedia dari</w:t>
      </w:r>
      <w:r w:rsidRPr="002D0DC8">
        <w:rPr>
          <w:rFonts w:ascii="Georgia" w:hAnsi="Georgia" w:cs="Times New Roman"/>
          <w:noProof/>
          <w:sz w:val="24"/>
          <w:lang w:val="en-US"/>
        </w:rPr>
        <w:t>: https://doi.org/10.1016/j.jdent.2019.03.005</w:t>
      </w:r>
    </w:p>
    <w:p w:rsidR="00856FBC" w:rsidRPr="00A01440" w:rsidRDefault="002D0DC8" w:rsidP="00A01440">
      <w:pPr>
        <w:spacing w:after="0" w:line="480" w:lineRule="auto"/>
        <w:jc w:val="both"/>
        <w:rPr>
          <w:rFonts w:ascii="Georgia" w:hAnsi="Georgia" w:cs="Times New Roman"/>
          <w:b/>
          <w:sz w:val="24"/>
          <w:szCs w:val="24"/>
          <w:lang w:val="en-US"/>
        </w:rPr>
      </w:pPr>
      <w:r w:rsidRPr="002D0DC8">
        <w:rPr>
          <w:rFonts w:ascii="Georgia" w:hAnsi="Georgia" w:cs="Times New Roman"/>
          <w:b/>
          <w:sz w:val="24"/>
          <w:szCs w:val="24"/>
          <w:lang w:val="en-US"/>
        </w:rPr>
        <w:fldChar w:fldCharType="end"/>
      </w:r>
      <w:r w:rsidR="00B93502" w:rsidRPr="00A16C05">
        <w:rPr>
          <w:rFonts w:ascii="Georgia" w:eastAsia="Times New Roman" w:hAnsi="Georgia" w:cs="Times New Roman"/>
          <w:sz w:val="24"/>
          <w:szCs w:val="24"/>
          <w:lang w:val="en-ID" w:eastAsia="en-US"/>
        </w:rPr>
        <w:t xml:space="preserve"> </w:t>
      </w:r>
    </w:p>
    <w:sectPr w:rsidR="00856FBC" w:rsidRPr="00A01440" w:rsidSect="00F04AC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7FC" w:rsidRDefault="008F07FC" w:rsidP="00FC36EE">
      <w:pPr>
        <w:spacing w:after="0" w:line="240" w:lineRule="auto"/>
      </w:pPr>
      <w:r>
        <w:separator/>
      </w:r>
    </w:p>
  </w:endnote>
  <w:endnote w:type="continuationSeparator" w:id="0">
    <w:p w:rsidR="008F07FC" w:rsidRDefault="008F07FC" w:rsidP="00FC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86045"/>
      <w:docPartObj>
        <w:docPartGallery w:val="Page Numbers (Bottom of Page)"/>
        <w:docPartUnique/>
      </w:docPartObj>
    </w:sdtPr>
    <w:sdtContent>
      <w:p w:rsidR="00FC36EE" w:rsidRDefault="00FC36EE" w:rsidP="00B32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C36EE" w:rsidRDefault="00FC36EE" w:rsidP="00FC3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741074"/>
      <w:docPartObj>
        <w:docPartGallery w:val="Page Numbers (Bottom of Page)"/>
        <w:docPartUnique/>
      </w:docPartObj>
    </w:sdtPr>
    <w:sdtContent>
      <w:p w:rsidR="00FC36EE" w:rsidRDefault="00FC36EE" w:rsidP="00B32C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C36EE" w:rsidRDefault="00FC36EE" w:rsidP="00FC3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7FC" w:rsidRDefault="008F07FC" w:rsidP="00FC36EE">
      <w:pPr>
        <w:spacing w:after="0" w:line="240" w:lineRule="auto"/>
      </w:pPr>
      <w:r>
        <w:separator/>
      </w:r>
    </w:p>
  </w:footnote>
  <w:footnote w:type="continuationSeparator" w:id="0">
    <w:p w:rsidR="008F07FC" w:rsidRDefault="008F07FC" w:rsidP="00FC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5EA2"/>
    <w:multiLevelType w:val="multilevel"/>
    <w:tmpl w:val="8F2E73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D3B5E"/>
    <w:multiLevelType w:val="multilevel"/>
    <w:tmpl w:val="6E8A1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11CF2"/>
    <w:multiLevelType w:val="multilevel"/>
    <w:tmpl w:val="643831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C5D6A"/>
    <w:multiLevelType w:val="multilevel"/>
    <w:tmpl w:val="E348E6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353A6"/>
    <w:multiLevelType w:val="multilevel"/>
    <w:tmpl w:val="AB542C3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23D69"/>
    <w:multiLevelType w:val="multilevel"/>
    <w:tmpl w:val="45043E8A"/>
    <w:lvl w:ilvl="0">
      <w:start w:val="1"/>
      <w:numFmt w:val="decimal"/>
      <w:lvlText w:val="%1."/>
      <w:lvlJc w:val="left"/>
      <w:pPr>
        <w:tabs>
          <w:tab w:val="num" w:pos="720"/>
        </w:tabs>
        <w:ind w:left="720" w:hanging="360"/>
      </w:pPr>
      <w:rPr>
        <w:rFonts w:ascii="Georgia" w:eastAsiaTheme="minorEastAsia" w:hAnsi="Georgia" w:cs="Times New Roman"/>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D61DE"/>
    <w:multiLevelType w:val="multilevel"/>
    <w:tmpl w:val="A304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24854"/>
    <w:multiLevelType w:val="multilevel"/>
    <w:tmpl w:val="EBD87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988213">
    <w:abstractNumId w:val="6"/>
  </w:num>
  <w:num w:numId="2" w16cid:durableId="1494834916">
    <w:abstractNumId w:val="1"/>
  </w:num>
  <w:num w:numId="3" w16cid:durableId="420221431">
    <w:abstractNumId w:val="3"/>
  </w:num>
  <w:num w:numId="4" w16cid:durableId="1647319254">
    <w:abstractNumId w:val="2"/>
  </w:num>
  <w:num w:numId="5" w16cid:durableId="1957129683">
    <w:abstractNumId w:val="7"/>
  </w:num>
  <w:num w:numId="6" w16cid:durableId="2035112360">
    <w:abstractNumId w:val="5"/>
  </w:num>
  <w:num w:numId="7" w16cid:durableId="1235582029">
    <w:abstractNumId w:val="0"/>
  </w:num>
  <w:num w:numId="8" w16cid:durableId="1571961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F1"/>
    <w:rsid w:val="00015C34"/>
    <w:rsid w:val="000878AD"/>
    <w:rsid w:val="000941F8"/>
    <w:rsid w:val="00193413"/>
    <w:rsid w:val="001D3FC2"/>
    <w:rsid w:val="001E3F7D"/>
    <w:rsid w:val="0024685D"/>
    <w:rsid w:val="002D0DC8"/>
    <w:rsid w:val="0032767D"/>
    <w:rsid w:val="0033206B"/>
    <w:rsid w:val="004B710A"/>
    <w:rsid w:val="004E13FA"/>
    <w:rsid w:val="005548F1"/>
    <w:rsid w:val="005575D7"/>
    <w:rsid w:val="00590C72"/>
    <w:rsid w:val="00625BD4"/>
    <w:rsid w:val="006831F1"/>
    <w:rsid w:val="00803AEC"/>
    <w:rsid w:val="00803C41"/>
    <w:rsid w:val="008402DE"/>
    <w:rsid w:val="00856FBC"/>
    <w:rsid w:val="008F07FC"/>
    <w:rsid w:val="009763CE"/>
    <w:rsid w:val="009F7A03"/>
    <w:rsid w:val="00A01440"/>
    <w:rsid w:val="00A16C05"/>
    <w:rsid w:val="00A21AC6"/>
    <w:rsid w:val="00A37C8B"/>
    <w:rsid w:val="00A77745"/>
    <w:rsid w:val="00AE384A"/>
    <w:rsid w:val="00B4116C"/>
    <w:rsid w:val="00B93502"/>
    <w:rsid w:val="00BB5DE5"/>
    <w:rsid w:val="00C12CAF"/>
    <w:rsid w:val="00C47704"/>
    <w:rsid w:val="00C611E2"/>
    <w:rsid w:val="00D23969"/>
    <w:rsid w:val="00E307F0"/>
    <w:rsid w:val="00F04AC1"/>
    <w:rsid w:val="00F06BAA"/>
    <w:rsid w:val="00FA1AB7"/>
    <w:rsid w:val="00FC36EE"/>
    <w:rsid w:val="00FE66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F29D"/>
  <w15:docId w15:val="{C703B53A-781D-2643-B81F-48CC8AAB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D7"/>
    <w:pPr>
      <w:spacing w:after="200" w:line="276" w:lineRule="auto"/>
    </w:pPr>
    <w:rPr>
      <w:rFonts w:eastAsiaTheme="minorEastAsia"/>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48F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5575D7"/>
    <w:pPr>
      <w:ind w:left="720"/>
      <w:contextualSpacing/>
    </w:pPr>
  </w:style>
  <w:style w:type="paragraph" w:styleId="NoSpacing">
    <w:name w:val="No Spacing"/>
    <w:uiPriority w:val="1"/>
    <w:qFormat/>
    <w:rsid w:val="00F06BAA"/>
    <w:rPr>
      <w:rFonts w:ascii="Calibri" w:eastAsia="Calibri" w:hAnsi="Calibri" w:cs="Times New Roman"/>
      <w:sz w:val="22"/>
      <w:szCs w:val="22"/>
      <w:lang w:val="id-ID"/>
    </w:rPr>
  </w:style>
  <w:style w:type="paragraph" w:customStyle="1" w:styleId="Default">
    <w:name w:val="Default"/>
    <w:rsid w:val="00856FBC"/>
    <w:pPr>
      <w:autoSpaceDE w:val="0"/>
      <w:autoSpaceDN w:val="0"/>
      <w:adjustRightInd w:val="0"/>
    </w:pPr>
    <w:rPr>
      <w:rFonts w:ascii="Times New Roman" w:hAnsi="Times New Roman" w:cs="Times New Roman"/>
      <w:color w:val="000000"/>
      <w:lang w:val="id-ID"/>
    </w:rPr>
  </w:style>
  <w:style w:type="paragraph" w:styleId="HTMLPreformatted">
    <w:name w:val="HTML Preformatted"/>
    <w:basedOn w:val="Normal"/>
    <w:link w:val="HTMLPreformattedChar"/>
    <w:uiPriority w:val="99"/>
    <w:unhideWhenUsed/>
    <w:rsid w:val="0085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856FBC"/>
    <w:rPr>
      <w:rFonts w:ascii="Courier New" w:eastAsia="Times New Roman" w:hAnsi="Courier New" w:cs="Courier New"/>
      <w:sz w:val="20"/>
      <w:szCs w:val="20"/>
      <w:lang w:val="en-US" w:eastAsia="ja-JP"/>
    </w:rPr>
  </w:style>
  <w:style w:type="paragraph" w:customStyle="1" w:styleId="EndNoteBibliography">
    <w:name w:val="EndNote Bibliography"/>
    <w:basedOn w:val="Normal"/>
    <w:link w:val="EndNoteBibliographyChar"/>
    <w:rsid w:val="00590C7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90C72"/>
    <w:rPr>
      <w:rFonts w:ascii="Calibri" w:eastAsiaTheme="minorEastAsia" w:hAnsi="Calibri" w:cs="Calibri"/>
      <w:noProof/>
      <w:sz w:val="22"/>
      <w:szCs w:val="22"/>
      <w:lang w:val="id-ID" w:eastAsia="id-ID"/>
    </w:rPr>
  </w:style>
  <w:style w:type="table" w:styleId="TableGrid">
    <w:name w:val="Table Grid"/>
    <w:basedOn w:val="TableNormal"/>
    <w:uiPriority w:val="39"/>
    <w:rsid w:val="00F0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04AC1"/>
    <w:rPr>
      <w:rFonts w:eastAsiaTheme="minorEastAsia"/>
      <w:sz w:val="22"/>
      <w:szCs w:val="22"/>
      <w:lang w:val="id-ID" w:eastAsia="id-ID"/>
    </w:rPr>
  </w:style>
  <w:style w:type="paragraph" w:styleId="Footer">
    <w:name w:val="footer"/>
    <w:basedOn w:val="Normal"/>
    <w:link w:val="FooterChar"/>
    <w:uiPriority w:val="99"/>
    <w:unhideWhenUsed/>
    <w:rsid w:val="00FC3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EE"/>
    <w:rPr>
      <w:rFonts w:eastAsiaTheme="minorEastAsia"/>
      <w:sz w:val="22"/>
      <w:szCs w:val="22"/>
      <w:lang w:val="id-ID" w:eastAsia="id-ID"/>
    </w:rPr>
  </w:style>
  <w:style w:type="character" w:styleId="PageNumber">
    <w:name w:val="page number"/>
    <w:basedOn w:val="DefaultParagraphFont"/>
    <w:uiPriority w:val="99"/>
    <w:semiHidden/>
    <w:unhideWhenUsed/>
    <w:rsid w:val="00FC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33">
      <w:bodyDiv w:val="1"/>
      <w:marLeft w:val="0"/>
      <w:marRight w:val="0"/>
      <w:marTop w:val="0"/>
      <w:marBottom w:val="0"/>
      <w:divBdr>
        <w:top w:val="none" w:sz="0" w:space="0" w:color="auto"/>
        <w:left w:val="none" w:sz="0" w:space="0" w:color="auto"/>
        <w:bottom w:val="none" w:sz="0" w:space="0" w:color="auto"/>
        <w:right w:val="none" w:sz="0" w:space="0" w:color="auto"/>
      </w:divBdr>
      <w:divsChild>
        <w:div w:id="935673357">
          <w:marLeft w:val="0"/>
          <w:marRight w:val="0"/>
          <w:marTop w:val="0"/>
          <w:marBottom w:val="0"/>
          <w:divBdr>
            <w:top w:val="none" w:sz="0" w:space="0" w:color="auto"/>
            <w:left w:val="none" w:sz="0" w:space="0" w:color="auto"/>
            <w:bottom w:val="none" w:sz="0" w:space="0" w:color="auto"/>
            <w:right w:val="none" w:sz="0" w:space="0" w:color="auto"/>
          </w:divBdr>
          <w:divsChild>
            <w:div w:id="982395134">
              <w:marLeft w:val="0"/>
              <w:marRight w:val="0"/>
              <w:marTop w:val="0"/>
              <w:marBottom w:val="0"/>
              <w:divBdr>
                <w:top w:val="none" w:sz="0" w:space="0" w:color="auto"/>
                <w:left w:val="none" w:sz="0" w:space="0" w:color="auto"/>
                <w:bottom w:val="none" w:sz="0" w:space="0" w:color="auto"/>
                <w:right w:val="none" w:sz="0" w:space="0" w:color="auto"/>
              </w:divBdr>
              <w:divsChild>
                <w:div w:id="47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2082">
      <w:bodyDiv w:val="1"/>
      <w:marLeft w:val="0"/>
      <w:marRight w:val="0"/>
      <w:marTop w:val="0"/>
      <w:marBottom w:val="0"/>
      <w:divBdr>
        <w:top w:val="none" w:sz="0" w:space="0" w:color="auto"/>
        <w:left w:val="none" w:sz="0" w:space="0" w:color="auto"/>
        <w:bottom w:val="none" w:sz="0" w:space="0" w:color="auto"/>
        <w:right w:val="none" w:sz="0" w:space="0" w:color="auto"/>
      </w:divBdr>
      <w:divsChild>
        <w:div w:id="808518489">
          <w:marLeft w:val="0"/>
          <w:marRight w:val="0"/>
          <w:marTop w:val="0"/>
          <w:marBottom w:val="0"/>
          <w:divBdr>
            <w:top w:val="none" w:sz="0" w:space="0" w:color="auto"/>
            <w:left w:val="none" w:sz="0" w:space="0" w:color="auto"/>
            <w:bottom w:val="none" w:sz="0" w:space="0" w:color="auto"/>
            <w:right w:val="none" w:sz="0" w:space="0" w:color="auto"/>
          </w:divBdr>
          <w:divsChild>
            <w:div w:id="1652060936">
              <w:marLeft w:val="0"/>
              <w:marRight w:val="0"/>
              <w:marTop w:val="0"/>
              <w:marBottom w:val="0"/>
              <w:divBdr>
                <w:top w:val="none" w:sz="0" w:space="0" w:color="auto"/>
                <w:left w:val="none" w:sz="0" w:space="0" w:color="auto"/>
                <w:bottom w:val="none" w:sz="0" w:space="0" w:color="auto"/>
                <w:right w:val="none" w:sz="0" w:space="0" w:color="auto"/>
              </w:divBdr>
              <w:divsChild>
                <w:div w:id="13714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5683">
      <w:bodyDiv w:val="1"/>
      <w:marLeft w:val="0"/>
      <w:marRight w:val="0"/>
      <w:marTop w:val="0"/>
      <w:marBottom w:val="0"/>
      <w:divBdr>
        <w:top w:val="none" w:sz="0" w:space="0" w:color="auto"/>
        <w:left w:val="none" w:sz="0" w:space="0" w:color="auto"/>
        <w:bottom w:val="none" w:sz="0" w:space="0" w:color="auto"/>
        <w:right w:val="none" w:sz="0" w:space="0" w:color="auto"/>
      </w:divBdr>
      <w:divsChild>
        <w:div w:id="503906588">
          <w:marLeft w:val="0"/>
          <w:marRight w:val="0"/>
          <w:marTop w:val="0"/>
          <w:marBottom w:val="0"/>
          <w:divBdr>
            <w:top w:val="none" w:sz="0" w:space="0" w:color="auto"/>
            <w:left w:val="none" w:sz="0" w:space="0" w:color="auto"/>
            <w:bottom w:val="none" w:sz="0" w:space="0" w:color="auto"/>
            <w:right w:val="none" w:sz="0" w:space="0" w:color="auto"/>
          </w:divBdr>
          <w:divsChild>
            <w:div w:id="2102991040">
              <w:marLeft w:val="0"/>
              <w:marRight w:val="0"/>
              <w:marTop w:val="0"/>
              <w:marBottom w:val="0"/>
              <w:divBdr>
                <w:top w:val="none" w:sz="0" w:space="0" w:color="auto"/>
                <w:left w:val="none" w:sz="0" w:space="0" w:color="auto"/>
                <w:bottom w:val="none" w:sz="0" w:space="0" w:color="auto"/>
                <w:right w:val="none" w:sz="0" w:space="0" w:color="auto"/>
              </w:divBdr>
              <w:divsChild>
                <w:div w:id="20844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6411">
      <w:bodyDiv w:val="1"/>
      <w:marLeft w:val="0"/>
      <w:marRight w:val="0"/>
      <w:marTop w:val="0"/>
      <w:marBottom w:val="0"/>
      <w:divBdr>
        <w:top w:val="none" w:sz="0" w:space="0" w:color="auto"/>
        <w:left w:val="none" w:sz="0" w:space="0" w:color="auto"/>
        <w:bottom w:val="none" w:sz="0" w:space="0" w:color="auto"/>
        <w:right w:val="none" w:sz="0" w:space="0" w:color="auto"/>
      </w:divBdr>
      <w:divsChild>
        <w:div w:id="149488690">
          <w:marLeft w:val="0"/>
          <w:marRight w:val="0"/>
          <w:marTop w:val="0"/>
          <w:marBottom w:val="0"/>
          <w:divBdr>
            <w:top w:val="none" w:sz="0" w:space="0" w:color="auto"/>
            <w:left w:val="none" w:sz="0" w:space="0" w:color="auto"/>
            <w:bottom w:val="none" w:sz="0" w:space="0" w:color="auto"/>
            <w:right w:val="none" w:sz="0" w:space="0" w:color="auto"/>
          </w:divBdr>
          <w:divsChild>
            <w:div w:id="1541474428">
              <w:marLeft w:val="0"/>
              <w:marRight w:val="0"/>
              <w:marTop w:val="0"/>
              <w:marBottom w:val="0"/>
              <w:divBdr>
                <w:top w:val="none" w:sz="0" w:space="0" w:color="auto"/>
                <w:left w:val="none" w:sz="0" w:space="0" w:color="auto"/>
                <w:bottom w:val="none" w:sz="0" w:space="0" w:color="auto"/>
                <w:right w:val="none" w:sz="0" w:space="0" w:color="auto"/>
              </w:divBdr>
              <w:divsChild>
                <w:div w:id="1260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8149">
      <w:bodyDiv w:val="1"/>
      <w:marLeft w:val="0"/>
      <w:marRight w:val="0"/>
      <w:marTop w:val="0"/>
      <w:marBottom w:val="0"/>
      <w:divBdr>
        <w:top w:val="none" w:sz="0" w:space="0" w:color="auto"/>
        <w:left w:val="none" w:sz="0" w:space="0" w:color="auto"/>
        <w:bottom w:val="none" w:sz="0" w:space="0" w:color="auto"/>
        <w:right w:val="none" w:sz="0" w:space="0" w:color="auto"/>
      </w:divBdr>
      <w:divsChild>
        <w:div w:id="194659943">
          <w:marLeft w:val="0"/>
          <w:marRight w:val="0"/>
          <w:marTop w:val="0"/>
          <w:marBottom w:val="0"/>
          <w:divBdr>
            <w:top w:val="none" w:sz="0" w:space="0" w:color="auto"/>
            <w:left w:val="none" w:sz="0" w:space="0" w:color="auto"/>
            <w:bottom w:val="none" w:sz="0" w:space="0" w:color="auto"/>
            <w:right w:val="none" w:sz="0" w:space="0" w:color="auto"/>
          </w:divBdr>
          <w:divsChild>
            <w:div w:id="1017003436">
              <w:marLeft w:val="0"/>
              <w:marRight w:val="0"/>
              <w:marTop w:val="0"/>
              <w:marBottom w:val="0"/>
              <w:divBdr>
                <w:top w:val="none" w:sz="0" w:space="0" w:color="auto"/>
                <w:left w:val="none" w:sz="0" w:space="0" w:color="auto"/>
                <w:bottom w:val="none" w:sz="0" w:space="0" w:color="auto"/>
                <w:right w:val="none" w:sz="0" w:space="0" w:color="auto"/>
              </w:divBdr>
              <w:divsChild>
                <w:div w:id="13969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6733">
      <w:bodyDiv w:val="1"/>
      <w:marLeft w:val="0"/>
      <w:marRight w:val="0"/>
      <w:marTop w:val="0"/>
      <w:marBottom w:val="0"/>
      <w:divBdr>
        <w:top w:val="none" w:sz="0" w:space="0" w:color="auto"/>
        <w:left w:val="none" w:sz="0" w:space="0" w:color="auto"/>
        <w:bottom w:val="none" w:sz="0" w:space="0" w:color="auto"/>
        <w:right w:val="none" w:sz="0" w:space="0" w:color="auto"/>
      </w:divBdr>
      <w:divsChild>
        <w:div w:id="154272929">
          <w:marLeft w:val="0"/>
          <w:marRight w:val="0"/>
          <w:marTop w:val="0"/>
          <w:marBottom w:val="0"/>
          <w:divBdr>
            <w:top w:val="none" w:sz="0" w:space="0" w:color="auto"/>
            <w:left w:val="none" w:sz="0" w:space="0" w:color="auto"/>
            <w:bottom w:val="none" w:sz="0" w:space="0" w:color="auto"/>
            <w:right w:val="none" w:sz="0" w:space="0" w:color="auto"/>
          </w:divBdr>
          <w:divsChild>
            <w:div w:id="575558719">
              <w:marLeft w:val="0"/>
              <w:marRight w:val="0"/>
              <w:marTop w:val="0"/>
              <w:marBottom w:val="0"/>
              <w:divBdr>
                <w:top w:val="none" w:sz="0" w:space="0" w:color="auto"/>
                <w:left w:val="none" w:sz="0" w:space="0" w:color="auto"/>
                <w:bottom w:val="none" w:sz="0" w:space="0" w:color="auto"/>
                <w:right w:val="none" w:sz="0" w:space="0" w:color="auto"/>
              </w:divBdr>
              <w:divsChild>
                <w:div w:id="5113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3056">
      <w:bodyDiv w:val="1"/>
      <w:marLeft w:val="0"/>
      <w:marRight w:val="0"/>
      <w:marTop w:val="0"/>
      <w:marBottom w:val="0"/>
      <w:divBdr>
        <w:top w:val="none" w:sz="0" w:space="0" w:color="auto"/>
        <w:left w:val="none" w:sz="0" w:space="0" w:color="auto"/>
        <w:bottom w:val="none" w:sz="0" w:space="0" w:color="auto"/>
        <w:right w:val="none" w:sz="0" w:space="0" w:color="auto"/>
      </w:divBdr>
      <w:divsChild>
        <w:div w:id="943654719">
          <w:marLeft w:val="0"/>
          <w:marRight w:val="0"/>
          <w:marTop w:val="0"/>
          <w:marBottom w:val="0"/>
          <w:divBdr>
            <w:top w:val="none" w:sz="0" w:space="0" w:color="auto"/>
            <w:left w:val="none" w:sz="0" w:space="0" w:color="auto"/>
            <w:bottom w:val="none" w:sz="0" w:space="0" w:color="auto"/>
            <w:right w:val="none" w:sz="0" w:space="0" w:color="auto"/>
          </w:divBdr>
          <w:divsChild>
            <w:div w:id="984092885">
              <w:marLeft w:val="0"/>
              <w:marRight w:val="0"/>
              <w:marTop w:val="0"/>
              <w:marBottom w:val="0"/>
              <w:divBdr>
                <w:top w:val="none" w:sz="0" w:space="0" w:color="auto"/>
                <w:left w:val="none" w:sz="0" w:space="0" w:color="auto"/>
                <w:bottom w:val="none" w:sz="0" w:space="0" w:color="auto"/>
                <w:right w:val="none" w:sz="0" w:space="0" w:color="auto"/>
              </w:divBdr>
              <w:divsChild>
                <w:div w:id="7796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7904">
      <w:bodyDiv w:val="1"/>
      <w:marLeft w:val="0"/>
      <w:marRight w:val="0"/>
      <w:marTop w:val="0"/>
      <w:marBottom w:val="0"/>
      <w:divBdr>
        <w:top w:val="none" w:sz="0" w:space="0" w:color="auto"/>
        <w:left w:val="none" w:sz="0" w:space="0" w:color="auto"/>
        <w:bottom w:val="none" w:sz="0" w:space="0" w:color="auto"/>
        <w:right w:val="none" w:sz="0" w:space="0" w:color="auto"/>
      </w:divBdr>
      <w:divsChild>
        <w:div w:id="706831191">
          <w:marLeft w:val="0"/>
          <w:marRight w:val="0"/>
          <w:marTop w:val="0"/>
          <w:marBottom w:val="0"/>
          <w:divBdr>
            <w:top w:val="none" w:sz="0" w:space="0" w:color="auto"/>
            <w:left w:val="none" w:sz="0" w:space="0" w:color="auto"/>
            <w:bottom w:val="none" w:sz="0" w:space="0" w:color="auto"/>
            <w:right w:val="none" w:sz="0" w:space="0" w:color="auto"/>
          </w:divBdr>
          <w:divsChild>
            <w:div w:id="784812585">
              <w:marLeft w:val="0"/>
              <w:marRight w:val="0"/>
              <w:marTop w:val="0"/>
              <w:marBottom w:val="0"/>
              <w:divBdr>
                <w:top w:val="none" w:sz="0" w:space="0" w:color="auto"/>
                <w:left w:val="none" w:sz="0" w:space="0" w:color="auto"/>
                <w:bottom w:val="none" w:sz="0" w:space="0" w:color="auto"/>
                <w:right w:val="none" w:sz="0" w:space="0" w:color="auto"/>
              </w:divBdr>
              <w:divsChild>
                <w:div w:id="11063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01995">
      <w:bodyDiv w:val="1"/>
      <w:marLeft w:val="0"/>
      <w:marRight w:val="0"/>
      <w:marTop w:val="0"/>
      <w:marBottom w:val="0"/>
      <w:divBdr>
        <w:top w:val="none" w:sz="0" w:space="0" w:color="auto"/>
        <w:left w:val="none" w:sz="0" w:space="0" w:color="auto"/>
        <w:bottom w:val="none" w:sz="0" w:space="0" w:color="auto"/>
        <w:right w:val="none" w:sz="0" w:space="0" w:color="auto"/>
      </w:divBdr>
      <w:divsChild>
        <w:div w:id="54084930">
          <w:marLeft w:val="0"/>
          <w:marRight w:val="0"/>
          <w:marTop w:val="0"/>
          <w:marBottom w:val="0"/>
          <w:divBdr>
            <w:top w:val="none" w:sz="0" w:space="0" w:color="auto"/>
            <w:left w:val="none" w:sz="0" w:space="0" w:color="auto"/>
            <w:bottom w:val="none" w:sz="0" w:space="0" w:color="auto"/>
            <w:right w:val="none" w:sz="0" w:space="0" w:color="auto"/>
          </w:divBdr>
          <w:divsChild>
            <w:div w:id="1876769142">
              <w:marLeft w:val="0"/>
              <w:marRight w:val="0"/>
              <w:marTop w:val="0"/>
              <w:marBottom w:val="0"/>
              <w:divBdr>
                <w:top w:val="none" w:sz="0" w:space="0" w:color="auto"/>
                <w:left w:val="none" w:sz="0" w:space="0" w:color="auto"/>
                <w:bottom w:val="none" w:sz="0" w:space="0" w:color="auto"/>
                <w:right w:val="none" w:sz="0" w:space="0" w:color="auto"/>
              </w:divBdr>
              <w:divsChild>
                <w:div w:id="4376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7784">
      <w:bodyDiv w:val="1"/>
      <w:marLeft w:val="0"/>
      <w:marRight w:val="0"/>
      <w:marTop w:val="0"/>
      <w:marBottom w:val="0"/>
      <w:divBdr>
        <w:top w:val="none" w:sz="0" w:space="0" w:color="auto"/>
        <w:left w:val="none" w:sz="0" w:space="0" w:color="auto"/>
        <w:bottom w:val="none" w:sz="0" w:space="0" w:color="auto"/>
        <w:right w:val="none" w:sz="0" w:space="0" w:color="auto"/>
      </w:divBdr>
      <w:divsChild>
        <w:div w:id="933246217">
          <w:marLeft w:val="0"/>
          <w:marRight w:val="0"/>
          <w:marTop w:val="0"/>
          <w:marBottom w:val="0"/>
          <w:divBdr>
            <w:top w:val="none" w:sz="0" w:space="0" w:color="auto"/>
            <w:left w:val="none" w:sz="0" w:space="0" w:color="auto"/>
            <w:bottom w:val="none" w:sz="0" w:space="0" w:color="auto"/>
            <w:right w:val="none" w:sz="0" w:space="0" w:color="auto"/>
          </w:divBdr>
          <w:divsChild>
            <w:div w:id="565922259">
              <w:marLeft w:val="0"/>
              <w:marRight w:val="0"/>
              <w:marTop w:val="0"/>
              <w:marBottom w:val="0"/>
              <w:divBdr>
                <w:top w:val="none" w:sz="0" w:space="0" w:color="auto"/>
                <w:left w:val="none" w:sz="0" w:space="0" w:color="auto"/>
                <w:bottom w:val="none" w:sz="0" w:space="0" w:color="auto"/>
                <w:right w:val="none" w:sz="0" w:space="0" w:color="auto"/>
              </w:divBdr>
              <w:divsChild>
                <w:div w:id="15430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4834">
      <w:bodyDiv w:val="1"/>
      <w:marLeft w:val="0"/>
      <w:marRight w:val="0"/>
      <w:marTop w:val="0"/>
      <w:marBottom w:val="0"/>
      <w:divBdr>
        <w:top w:val="none" w:sz="0" w:space="0" w:color="auto"/>
        <w:left w:val="none" w:sz="0" w:space="0" w:color="auto"/>
        <w:bottom w:val="none" w:sz="0" w:space="0" w:color="auto"/>
        <w:right w:val="none" w:sz="0" w:space="0" w:color="auto"/>
      </w:divBdr>
      <w:divsChild>
        <w:div w:id="646668436">
          <w:marLeft w:val="0"/>
          <w:marRight w:val="0"/>
          <w:marTop w:val="0"/>
          <w:marBottom w:val="0"/>
          <w:divBdr>
            <w:top w:val="none" w:sz="0" w:space="0" w:color="auto"/>
            <w:left w:val="none" w:sz="0" w:space="0" w:color="auto"/>
            <w:bottom w:val="none" w:sz="0" w:space="0" w:color="auto"/>
            <w:right w:val="none" w:sz="0" w:space="0" w:color="auto"/>
          </w:divBdr>
          <w:divsChild>
            <w:div w:id="1595747279">
              <w:marLeft w:val="0"/>
              <w:marRight w:val="0"/>
              <w:marTop w:val="0"/>
              <w:marBottom w:val="0"/>
              <w:divBdr>
                <w:top w:val="none" w:sz="0" w:space="0" w:color="auto"/>
                <w:left w:val="none" w:sz="0" w:space="0" w:color="auto"/>
                <w:bottom w:val="none" w:sz="0" w:space="0" w:color="auto"/>
                <w:right w:val="none" w:sz="0" w:space="0" w:color="auto"/>
              </w:divBdr>
              <w:divsChild>
                <w:div w:id="8367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6949">
      <w:bodyDiv w:val="1"/>
      <w:marLeft w:val="0"/>
      <w:marRight w:val="0"/>
      <w:marTop w:val="0"/>
      <w:marBottom w:val="0"/>
      <w:divBdr>
        <w:top w:val="none" w:sz="0" w:space="0" w:color="auto"/>
        <w:left w:val="none" w:sz="0" w:space="0" w:color="auto"/>
        <w:bottom w:val="none" w:sz="0" w:space="0" w:color="auto"/>
        <w:right w:val="none" w:sz="0" w:space="0" w:color="auto"/>
      </w:divBdr>
      <w:divsChild>
        <w:div w:id="1665162744">
          <w:marLeft w:val="0"/>
          <w:marRight w:val="0"/>
          <w:marTop w:val="0"/>
          <w:marBottom w:val="0"/>
          <w:divBdr>
            <w:top w:val="none" w:sz="0" w:space="0" w:color="auto"/>
            <w:left w:val="none" w:sz="0" w:space="0" w:color="auto"/>
            <w:bottom w:val="none" w:sz="0" w:space="0" w:color="auto"/>
            <w:right w:val="none" w:sz="0" w:space="0" w:color="auto"/>
          </w:divBdr>
          <w:divsChild>
            <w:div w:id="1375692319">
              <w:marLeft w:val="0"/>
              <w:marRight w:val="0"/>
              <w:marTop w:val="0"/>
              <w:marBottom w:val="0"/>
              <w:divBdr>
                <w:top w:val="none" w:sz="0" w:space="0" w:color="auto"/>
                <w:left w:val="none" w:sz="0" w:space="0" w:color="auto"/>
                <w:bottom w:val="none" w:sz="0" w:space="0" w:color="auto"/>
                <w:right w:val="none" w:sz="0" w:space="0" w:color="auto"/>
              </w:divBdr>
              <w:divsChild>
                <w:div w:id="11822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0446">
      <w:bodyDiv w:val="1"/>
      <w:marLeft w:val="0"/>
      <w:marRight w:val="0"/>
      <w:marTop w:val="0"/>
      <w:marBottom w:val="0"/>
      <w:divBdr>
        <w:top w:val="none" w:sz="0" w:space="0" w:color="auto"/>
        <w:left w:val="none" w:sz="0" w:space="0" w:color="auto"/>
        <w:bottom w:val="none" w:sz="0" w:space="0" w:color="auto"/>
        <w:right w:val="none" w:sz="0" w:space="0" w:color="auto"/>
      </w:divBdr>
      <w:divsChild>
        <w:div w:id="131994146">
          <w:marLeft w:val="0"/>
          <w:marRight w:val="0"/>
          <w:marTop w:val="0"/>
          <w:marBottom w:val="0"/>
          <w:divBdr>
            <w:top w:val="none" w:sz="0" w:space="0" w:color="auto"/>
            <w:left w:val="none" w:sz="0" w:space="0" w:color="auto"/>
            <w:bottom w:val="none" w:sz="0" w:space="0" w:color="auto"/>
            <w:right w:val="none" w:sz="0" w:space="0" w:color="auto"/>
          </w:divBdr>
          <w:divsChild>
            <w:div w:id="418866914">
              <w:marLeft w:val="0"/>
              <w:marRight w:val="0"/>
              <w:marTop w:val="0"/>
              <w:marBottom w:val="0"/>
              <w:divBdr>
                <w:top w:val="none" w:sz="0" w:space="0" w:color="auto"/>
                <w:left w:val="none" w:sz="0" w:space="0" w:color="auto"/>
                <w:bottom w:val="none" w:sz="0" w:space="0" w:color="auto"/>
                <w:right w:val="none" w:sz="0" w:space="0" w:color="auto"/>
              </w:divBdr>
              <w:divsChild>
                <w:div w:id="417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13621">
      <w:bodyDiv w:val="1"/>
      <w:marLeft w:val="0"/>
      <w:marRight w:val="0"/>
      <w:marTop w:val="0"/>
      <w:marBottom w:val="0"/>
      <w:divBdr>
        <w:top w:val="none" w:sz="0" w:space="0" w:color="auto"/>
        <w:left w:val="none" w:sz="0" w:space="0" w:color="auto"/>
        <w:bottom w:val="none" w:sz="0" w:space="0" w:color="auto"/>
        <w:right w:val="none" w:sz="0" w:space="0" w:color="auto"/>
      </w:divBdr>
      <w:divsChild>
        <w:div w:id="1703822542">
          <w:marLeft w:val="0"/>
          <w:marRight w:val="0"/>
          <w:marTop w:val="0"/>
          <w:marBottom w:val="0"/>
          <w:divBdr>
            <w:top w:val="none" w:sz="0" w:space="0" w:color="auto"/>
            <w:left w:val="none" w:sz="0" w:space="0" w:color="auto"/>
            <w:bottom w:val="none" w:sz="0" w:space="0" w:color="auto"/>
            <w:right w:val="none" w:sz="0" w:space="0" w:color="auto"/>
          </w:divBdr>
          <w:divsChild>
            <w:div w:id="1224758991">
              <w:marLeft w:val="0"/>
              <w:marRight w:val="0"/>
              <w:marTop w:val="0"/>
              <w:marBottom w:val="0"/>
              <w:divBdr>
                <w:top w:val="none" w:sz="0" w:space="0" w:color="auto"/>
                <w:left w:val="none" w:sz="0" w:space="0" w:color="auto"/>
                <w:bottom w:val="none" w:sz="0" w:space="0" w:color="auto"/>
                <w:right w:val="none" w:sz="0" w:space="0" w:color="auto"/>
              </w:divBdr>
              <w:divsChild>
                <w:div w:id="700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3042">
      <w:bodyDiv w:val="1"/>
      <w:marLeft w:val="0"/>
      <w:marRight w:val="0"/>
      <w:marTop w:val="0"/>
      <w:marBottom w:val="0"/>
      <w:divBdr>
        <w:top w:val="none" w:sz="0" w:space="0" w:color="auto"/>
        <w:left w:val="none" w:sz="0" w:space="0" w:color="auto"/>
        <w:bottom w:val="none" w:sz="0" w:space="0" w:color="auto"/>
        <w:right w:val="none" w:sz="0" w:space="0" w:color="auto"/>
      </w:divBdr>
      <w:divsChild>
        <w:div w:id="1172570437">
          <w:marLeft w:val="0"/>
          <w:marRight w:val="0"/>
          <w:marTop w:val="0"/>
          <w:marBottom w:val="0"/>
          <w:divBdr>
            <w:top w:val="none" w:sz="0" w:space="0" w:color="auto"/>
            <w:left w:val="none" w:sz="0" w:space="0" w:color="auto"/>
            <w:bottom w:val="none" w:sz="0" w:space="0" w:color="auto"/>
            <w:right w:val="none" w:sz="0" w:space="0" w:color="auto"/>
          </w:divBdr>
          <w:divsChild>
            <w:div w:id="440995389">
              <w:marLeft w:val="0"/>
              <w:marRight w:val="0"/>
              <w:marTop w:val="0"/>
              <w:marBottom w:val="0"/>
              <w:divBdr>
                <w:top w:val="none" w:sz="0" w:space="0" w:color="auto"/>
                <w:left w:val="none" w:sz="0" w:space="0" w:color="auto"/>
                <w:bottom w:val="none" w:sz="0" w:space="0" w:color="auto"/>
                <w:right w:val="none" w:sz="0" w:space="0" w:color="auto"/>
              </w:divBdr>
              <w:divsChild>
                <w:div w:id="1937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1569">
      <w:bodyDiv w:val="1"/>
      <w:marLeft w:val="0"/>
      <w:marRight w:val="0"/>
      <w:marTop w:val="0"/>
      <w:marBottom w:val="0"/>
      <w:divBdr>
        <w:top w:val="none" w:sz="0" w:space="0" w:color="auto"/>
        <w:left w:val="none" w:sz="0" w:space="0" w:color="auto"/>
        <w:bottom w:val="none" w:sz="0" w:space="0" w:color="auto"/>
        <w:right w:val="none" w:sz="0" w:space="0" w:color="auto"/>
      </w:divBdr>
      <w:divsChild>
        <w:div w:id="1341740974">
          <w:marLeft w:val="0"/>
          <w:marRight w:val="0"/>
          <w:marTop w:val="0"/>
          <w:marBottom w:val="0"/>
          <w:divBdr>
            <w:top w:val="none" w:sz="0" w:space="0" w:color="auto"/>
            <w:left w:val="none" w:sz="0" w:space="0" w:color="auto"/>
            <w:bottom w:val="none" w:sz="0" w:space="0" w:color="auto"/>
            <w:right w:val="none" w:sz="0" w:space="0" w:color="auto"/>
          </w:divBdr>
          <w:divsChild>
            <w:div w:id="721830652">
              <w:marLeft w:val="0"/>
              <w:marRight w:val="0"/>
              <w:marTop w:val="0"/>
              <w:marBottom w:val="0"/>
              <w:divBdr>
                <w:top w:val="none" w:sz="0" w:space="0" w:color="auto"/>
                <w:left w:val="none" w:sz="0" w:space="0" w:color="auto"/>
                <w:bottom w:val="none" w:sz="0" w:space="0" w:color="auto"/>
                <w:right w:val="none" w:sz="0" w:space="0" w:color="auto"/>
              </w:divBdr>
              <w:divsChild>
                <w:div w:id="19175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07283">
      <w:bodyDiv w:val="1"/>
      <w:marLeft w:val="0"/>
      <w:marRight w:val="0"/>
      <w:marTop w:val="0"/>
      <w:marBottom w:val="0"/>
      <w:divBdr>
        <w:top w:val="none" w:sz="0" w:space="0" w:color="auto"/>
        <w:left w:val="none" w:sz="0" w:space="0" w:color="auto"/>
        <w:bottom w:val="none" w:sz="0" w:space="0" w:color="auto"/>
        <w:right w:val="none" w:sz="0" w:space="0" w:color="auto"/>
      </w:divBdr>
      <w:divsChild>
        <w:div w:id="778111172">
          <w:marLeft w:val="0"/>
          <w:marRight w:val="0"/>
          <w:marTop w:val="0"/>
          <w:marBottom w:val="0"/>
          <w:divBdr>
            <w:top w:val="none" w:sz="0" w:space="0" w:color="auto"/>
            <w:left w:val="none" w:sz="0" w:space="0" w:color="auto"/>
            <w:bottom w:val="none" w:sz="0" w:space="0" w:color="auto"/>
            <w:right w:val="none" w:sz="0" w:space="0" w:color="auto"/>
          </w:divBdr>
          <w:divsChild>
            <w:div w:id="1272739763">
              <w:marLeft w:val="0"/>
              <w:marRight w:val="0"/>
              <w:marTop w:val="0"/>
              <w:marBottom w:val="0"/>
              <w:divBdr>
                <w:top w:val="none" w:sz="0" w:space="0" w:color="auto"/>
                <w:left w:val="none" w:sz="0" w:space="0" w:color="auto"/>
                <w:bottom w:val="none" w:sz="0" w:space="0" w:color="auto"/>
                <w:right w:val="none" w:sz="0" w:space="0" w:color="auto"/>
              </w:divBdr>
              <w:divsChild>
                <w:div w:id="15880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90834">
      <w:bodyDiv w:val="1"/>
      <w:marLeft w:val="0"/>
      <w:marRight w:val="0"/>
      <w:marTop w:val="0"/>
      <w:marBottom w:val="0"/>
      <w:divBdr>
        <w:top w:val="none" w:sz="0" w:space="0" w:color="auto"/>
        <w:left w:val="none" w:sz="0" w:space="0" w:color="auto"/>
        <w:bottom w:val="none" w:sz="0" w:space="0" w:color="auto"/>
        <w:right w:val="none" w:sz="0" w:space="0" w:color="auto"/>
      </w:divBdr>
      <w:divsChild>
        <w:div w:id="2028754088">
          <w:marLeft w:val="0"/>
          <w:marRight w:val="0"/>
          <w:marTop w:val="0"/>
          <w:marBottom w:val="0"/>
          <w:divBdr>
            <w:top w:val="none" w:sz="0" w:space="0" w:color="auto"/>
            <w:left w:val="none" w:sz="0" w:space="0" w:color="auto"/>
            <w:bottom w:val="none" w:sz="0" w:space="0" w:color="auto"/>
            <w:right w:val="none" w:sz="0" w:space="0" w:color="auto"/>
          </w:divBdr>
          <w:divsChild>
            <w:div w:id="1335301028">
              <w:marLeft w:val="0"/>
              <w:marRight w:val="0"/>
              <w:marTop w:val="0"/>
              <w:marBottom w:val="0"/>
              <w:divBdr>
                <w:top w:val="none" w:sz="0" w:space="0" w:color="auto"/>
                <w:left w:val="none" w:sz="0" w:space="0" w:color="auto"/>
                <w:bottom w:val="none" w:sz="0" w:space="0" w:color="auto"/>
                <w:right w:val="none" w:sz="0" w:space="0" w:color="auto"/>
              </w:divBdr>
              <w:divsChild>
                <w:div w:id="21442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91">
          <w:marLeft w:val="0"/>
          <w:marRight w:val="0"/>
          <w:marTop w:val="0"/>
          <w:marBottom w:val="0"/>
          <w:divBdr>
            <w:top w:val="none" w:sz="0" w:space="0" w:color="auto"/>
            <w:left w:val="none" w:sz="0" w:space="0" w:color="auto"/>
            <w:bottom w:val="none" w:sz="0" w:space="0" w:color="auto"/>
            <w:right w:val="none" w:sz="0" w:space="0" w:color="auto"/>
          </w:divBdr>
          <w:divsChild>
            <w:div w:id="777258129">
              <w:marLeft w:val="0"/>
              <w:marRight w:val="0"/>
              <w:marTop w:val="0"/>
              <w:marBottom w:val="0"/>
              <w:divBdr>
                <w:top w:val="none" w:sz="0" w:space="0" w:color="auto"/>
                <w:left w:val="none" w:sz="0" w:space="0" w:color="auto"/>
                <w:bottom w:val="none" w:sz="0" w:space="0" w:color="auto"/>
                <w:right w:val="none" w:sz="0" w:space="0" w:color="auto"/>
              </w:divBdr>
              <w:divsChild>
                <w:div w:id="1372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3149">
      <w:bodyDiv w:val="1"/>
      <w:marLeft w:val="0"/>
      <w:marRight w:val="0"/>
      <w:marTop w:val="0"/>
      <w:marBottom w:val="0"/>
      <w:divBdr>
        <w:top w:val="none" w:sz="0" w:space="0" w:color="auto"/>
        <w:left w:val="none" w:sz="0" w:space="0" w:color="auto"/>
        <w:bottom w:val="none" w:sz="0" w:space="0" w:color="auto"/>
        <w:right w:val="none" w:sz="0" w:space="0" w:color="auto"/>
      </w:divBdr>
      <w:divsChild>
        <w:div w:id="1739984931">
          <w:marLeft w:val="0"/>
          <w:marRight w:val="0"/>
          <w:marTop w:val="0"/>
          <w:marBottom w:val="0"/>
          <w:divBdr>
            <w:top w:val="none" w:sz="0" w:space="0" w:color="auto"/>
            <w:left w:val="none" w:sz="0" w:space="0" w:color="auto"/>
            <w:bottom w:val="none" w:sz="0" w:space="0" w:color="auto"/>
            <w:right w:val="none" w:sz="0" w:space="0" w:color="auto"/>
          </w:divBdr>
          <w:divsChild>
            <w:div w:id="1632664113">
              <w:marLeft w:val="0"/>
              <w:marRight w:val="0"/>
              <w:marTop w:val="0"/>
              <w:marBottom w:val="0"/>
              <w:divBdr>
                <w:top w:val="none" w:sz="0" w:space="0" w:color="auto"/>
                <w:left w:val="none" w:sz="0" w:space="0" w:color="auto"/>
                <w:bottom w:val="none" w:sz="0" w:space="0" w:color="auto"/>
                <w:right w:val="none" w:sz="0" w:space="0" w:color="auto"/>
              </w:divBdr>
              <w:divsChild>
                <w:div w:id="2866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3124">
          <w:marLeft w:val="0"/>
          <w:marRight w:val="0"/>
          <w:marTop w:val="0"/>
          <w:marBottom w:val="0"/>
          <w:divBdr>
            <w:top w:val="none" w:sz="0" w:space="0" w:color="auto"/>
            <w:left w:val="none" w:sz="0" w:space="0" w:color="auto"/>
            <w:bottom w:val="none" w:sz="0" w:space="0" w:color="auto"/>
            <w:right w:val="none" w:sz="0" w:space="0" w:color="auto"/>
          </w:divBdr>
          <w:divsChild>
            <w:div w:id="1618557503">
              <w:marLeft w:val="0"/>
              <w:marRight w:val="0"/>
              <w:marTop w:val="0"/>
              <w:marBottom w:val="0"/>
              <w:divBdr>
                <w:top w:val="none" w:sz="0" w:space="0" w:color="auto"/>
                <w:left w:val="none" w:sz="0" w:space="0" w:color="auto"/>
                <w:bottom w:val="none" w:sz="0" w:space="0" w:color="auto"/>
                <w:right w:val="none" w:sz="0" w:space="0" w:color="auto"/>
              </w:divBdr>
              <w:divsChild>
                <w:div w:id="5555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5227">
      <w:bodyDiv w:val="1"/>
      <w:marLeft w:val="0"/>
      <w:marRight w:val="0"/>
      <w:marTop w:val="0"/>
      <w:marBottom w:val="0"/>
      <w:divBdr>
        <w:top w:val="none" w:sz="0" w:space="0" w:color="auto"/>
        <w:left w:val="none" w:sz="0" w:space="0" w:color="auto"/>
        <w:bottom w:val="none" w:sz="0" w:space="0" w:color="auto"/>
        <w:right w:val="none" w:sz="0" w:space="0" w:color="auto"/>
      </w:divBdr>
      <w:divsChild>
        <w:div w:id="71322615">
          <w:marLeft w:val="0"/>
          <w:marRight w:val="0"/>
          <w:marTop w:val="0"/>
          <w:marBottom w:val="0"/>
          <w:divBdr>
            <w:top w:val="none" w:sz="0" w:space="0" w:color="auto"/>
            <w:left w:val="none" w:sz="0" w:space="0" w:color="auto"/>
            <w:bottom w:val="none" w:sz="0" w:space="0" w:color="auto"/>
            <w:right w:val="none" w:sz="0" w:space="0" w:color="auto"/>
          </w:divBdr>
          <w:divsChild>
            <w:div w:id="1302812438">
              <w:marLeft w:val="0"/>
              <w:marRight w:val="0"/>
              <w:marTop w:val="0"/>
              <w:marBottom w:val="0"/>
              <w:divBdr>
                <w:top w:val="none" w:sz="0" w:space="0" w:color="auto"/>
                <w:left w:val="none" w:sz="0" w:space="0" w:color="auto"/>
                <w:bottom w:val="none" w:sz="0" w:space="0" w:color="auto"/>
                <w:right w:val="none" w:sz="0" w:space="0" w:color="auto"/>
              </w:divBdr>
              <w:divsChild>
                <w:div w:id="646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9866">
      <w:bodyDiv w:val="1"/>
      <w:marLeft w:val="0"/>
      <w:marRight w:val="0"/>
      <w:marTop w:val="0"/>
      <w:marBottom w:val="0"/>
      <w:divBdr>
        <w:top w:val="none" w:sz="0" w:space="0" w:color="auto"/>
        <w:left w:val="none" w:sz="0" w:space="0" w:color="auto"/>
        <w:bottom w:val="none" w:sz="0" w:space="0" w:color="auto"/>
        <w:right w:val="none" w:sz="0" w:space="0" w:color="auto"/>
      </w:divBdr>
      <w:divsChild>
        <w:div w:id="104734431">
          <w:marLeft w:val="0"/>
          <w:marRight w:val="0"/>
          <w:marTop w:val="0"/>
          <w:marBottom w:val="0"/>
          <w:divBdr>
            <w:top w:val="none" w:sz="0" w:space="0" w:color="auto"/>
            <w:left w:val="none" w:sz="0" w:space="0" w:color="auto"/>
            <w:bottom w:val="none" w:sz="0" w:space="0" w:color="auto"/>
            <w:right w:val="none" w:sz="0" w:space="0" w:color="auto"/>
          </w:divBdr>
          <w:divsChild>
            <w:div w:id="859664605">
              <w:marLeft w:val="0"/>
              <w:marRight w:val="0"/>
              <w:marTop w:val="0"/>
              <w:marBottom w:val="0"/>
              <w:divBdr>
                <w:top w:val="none" w:sz="0" w:space="0" w:color="auto"/>
                <w:left w:val="none" w:sz="0" w:space="0" w:color="auto"/>
                <w:bottom w:val="none" w:sz="0" w:space="0" w:color="auto"/>
                <w:right w:val="none" w:sz="0" w:space="0" w:color="auto"/>
              </w:divBdr>
              <w:divsChild>
                <w:div w:id="17203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2410">
      <w:bodyDiv w:val="1"/>
      <w:marLeft w:val="0"/>
      <w:marRight w:val="0"/>
      <w:marTop w:val="0"/>
      <w:marBottom w:val="0"/>
      <w:divBdr>
        <w:top w:val="none" w:sz="0" w:space="0" w:color="auto"/>
        <w:left w:val="none" w:sz="0" w:space="0" w:color="auto"/>
        <w:bottom w:val="none" w:sz="0" w:space="0" w:color="auto"/>
        <w:right w:val="none" w:sz="0" w:space="0" w:color="auto"/>
      </w:divBdr>
      <w:divsChild>
        <w:div w:id="378818328">
          <w:marLeft w:val="0"/>
          <w:marRight w:val="0"/>
          <w:marTop w:val="0"/>
          <w:marBottom w:val="0"/>
          <w:divBdr>
            <w:top w:val="none" w:sz="0" w:space="0" w:color="auto"/>
            <w:left w:val="none" w:sz="0" w:space="0" w:color="auto"/>
            <w:bottom w:val="none" w:sz="0" w:space="0" w:color="auto"/>
            <w:right w:val="none" w:sz="0" w:space="0" w:color="auto"/>
          </w:divBdr>
          <w:divsChild>
            <w:div w:id="1426346187">
              <w:marLeft w:val="0"/>
              <w:marRight w:val="0"/>
              <w:marTop w:val="0"/>
              <w:marBottom w:val="0"/>
              <w:divBdr>
                <w:top w:val="none" w:sz="0" w:space="0" w:color="auto"/>
                <w:left w:val="none" w:sz="0" w:space="0" w:color="auto"/>
                <w:bottom w:val="none" w:sz="0" w:space="0" w:color="auto"/>
                <w:right w:val="none" w:sz="0" w:space="0" w:color="auto"/>
              </w:divBdr>
              <w:divsChild>
                <w:div w:id="10556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0446">
      <w:bodyDiv w:val="1"/>
      <w:marLeft w:val="0"/>
      <w:marRight w:val="0"/>
      <w:marTop w:val="0"/>
      <w:marBottom w:val="0"/>
      <w:divBdr>
        <w:top w:val="none" w:sz="0" w:space="0" w:color="auto"/>
        <w:left w:val="none" w:sz="0" w:space="0" w:color="auto"/>
        <w:bottom w:val="none" w:sz="0" w:space="0" w:color="auto"/>
        <w:right w:val="none" w:sz="0" w:space="0" w:color="auto"/>
      </w:divBdr>
      <w:divsChild>
        <w:div w:id="344749636">
          <w:marLeft w:val="0"/>
          <w:marRight w:val="0"/>
          <w:marTop w:val="0"/>
          <w:marBottom w:val="0"/>
          <w:divBdr>
            <w:top w:val="none" w:sz="0" w:space="0" w:color="auto"/>
            <w:left w:val="none" w:sz="0" w:space="0" w:color="auto"/>
            <w:bottom w:val="none" w:sz="0" w:space="0" w:color="auto"/>
            <w:right w:val="none" w:sz="0" w:space="0" w:color="auto"/>
          </w:divBdr>
          <w:divsChild>
            <w:div w:id="657853211">
              <w:marLeft w:val="0"/>
              <w:marRight w:val="0"/>
              <w:marTop w:val="0"/>
              <w:marBottom w:val="0"/>
              <w:divBdr>
                <w:top w:val="none" w:sz="0" w:space="0" w:color="auto"/>
                <w:left w:val="none" w:sz="0" w:space="0" w:color="auto"/>
                <w:bottom w:val="none" w:sz="0" w:space="0" w:color="auto"/>
                <w:right w:val="none" w:sz="0" w:space="0" w:color="auto"/>
              </w:divBdr>
              <w:divsChild>
                <w:div w:id="20415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7445">
          <w:marLeft w:val="0"/>
          <w:marRight w:val="0"/>
          <w:marTop w:val="0"/>
          <w:marBottom w:val="0"/>
          <w:divBdr>
            <w:top w:val="none" w:sz="0" w:space="0" w:color="auto"/>
            <w:left w:val="none" w:sz="0" w:space="0" w:color="auto"/>
            <w:bottom w:val="none" w:sz="0" w:space="0" w:color="auto"/>
            <w:right w:val="none" w:sz="0" w:space="0" w:color="auto"/>
          </w:divBdr>
          <w:divsChild>
            <w:div w:id="1709573524">
              <w:marLeft w:val="0"/>
              <w:marRight w:val="0"/>
              <w:marTop w:val="0"/>
              <w:marBottom w:val="0"/>
              <w:divBdr>
                <w:top w:val="none" w:sz="0" w:space="0" w:color="auto"/>
                <w:left w:val="none" w:sz="0" w:space="0" w:color="auto"/>
                <w:bottom w:val="none" w:sz="0" w:space="0" w:color="auto"/>
                <w:right w:val="none" w:sz="0" w:space="0" w:color="auto"/>
              </w:divBdr>
              <w:divsChild>
                <w:div w:id="149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5889-F84E-CF4E-952C-0943CB70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17</Pages>
  <Words>18185</Words>
  <Characters>103659</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Naufis Puteri</dc:creator>
  <cp:keywords/>
  <dc:description/>
  <cp:lastModifiedBy>Naufis Puteri</cp:lastModifiedBy>
  <cp:revision>15</cp:revision>
  <dcterms:created xsi:type="dcterms:W3CDTF">2024-01-16T07:27:00Z</dcterms:created>
  <dcterms:modified xsi:type="dcterms:W3CDTF">2024-01-20T12:34:00Z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648a40b7-e584-3d10-b1d5-d65e0c6c30aa</vt:lpwstr>
  </property>
  <property fmtid="{D5CDD505-2E9C-101B-9397-08002B2CF9AE}" pid="24" name="Mendeley Citation Style_1">
    <vt:lpwstr>http://www.zotero.org/styles/vancouver-superscript</vt:lpwstr>
  </property>
</Properties>
</file>