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CD69" w14:textId="59F71E87" w:rsidR="00297715" w:rsidRPr="00464420" w:rsidRDefault="009F61A3" w:rsidP="009F61A3">
      <w:pPr>
        <w:pStyle w:val="MIMBAR-Judul"/>
      </w:pPr>
      <w:r w:rsidRPr="00464420">
        <w:t xml:space="preserve">The Effect of </w:t>
      </w:r>
      <w:r w:rsidR="00AB321B" w:rsidRPr="00464420">
        <w:t xml:space="preserve">District </w:t>
      </w:r>
      <w:r w:rsidRPr="00464420">
        <w:t>Health Spending on Disease Rate</w:t>
      </w:r>
      <w:r w:rsidR="00A632A0" w:rsidRPr="00464420">
        <w:t>s</w:t>
      </w:r>
      <w:r w:rsidRPr="00464420">
        <w:t xml:space="preserve"> </w:t>
      </w:r>
      <w:r w:rsidR="00267DC9">
        <w:t>i</w:t>
      </w:r>
      <w:r w:rsidRPr="00464420">
        <w:t>n Sumatra Island</w:t>
      </w:r>
      <w:r w:rsidR="00694648" w:rsidRPr="00464420">
        <w:t xml:space="preserve"> </w:t>
      </w:r>
    </w:p>
    <w:p w14:paraId="5E130611" w14:textId="77777777" w:rsidR="00CC2FE8" w:rsidRPr="00464420" w:rsidRDefault="00297715" w:rsidP="0095366C">
      <w:pPr>
        <w:pStyle w:val="MIMBAR-NamaPenulis"/>
        <w:ind w:left="0" w:right="0"/>
      </w:pPr>
      <w:r w:rsidRPr="00464420">
        <w:rPr>
          <w:vertAlign w:val="superscript"/>
        </w:rPr>
        <w:t>1</w:t>
      </w:r>
      <w:r w:rsidR="00CC2FE8" w:rsidRPr="00464420">
        <w:t>ESTRO DARIATNO SIHALOHO</w:t>
      </w:r>
      <w:r w:rsidRPr="00464420">
        <w:t>,</w:t>
      </w:r>
      <w:r w:rsidRPr="00464420">
        <w:rPr>
          <w:sz w:val="13"/>
        </w:rPr>
        <w:t xml:space="preserve"> </w:t>
      </w:r>
      <w:r w:rsidR="005567B5" w:rsidRPr="00464420">
        <w:rPr>
          <w:vertAlign w:val="superscript"/>
        </w:rPr>
        <w:t>2</w:t>
      </w:r>
      <w:r w:rsidR="005567B5" w:rsidRPr="00464420">
        <w:t>DONNY HARDIAWAN</w:t>
      </w:r>
      <w:r w:rsidRPr="00464420">
        <w:t>,</w:t>
      </w:r>
      <w:r w:rsidRPr="00464420">
        <w:rPr>
          <w:lang w:val="id-ID"/>
        </w:rPr>
        <w:t xml:space="preserve"> </w:t>
      </w:r>
      <w:r w:rsidR="00CC2FE8" w:rsidRPr="00464420">
        <w:rPr>
          <w:lang w:val="id-ID"/>
        </w:rPr>
        <w:t xml:space="preserve">                   </w:t>
      </w:r>
    </w:p>
    <w:p w14:paraId="1ADC9A9C" w14:textId="77777777" w:rsidR="00A97368" w:rsidRPr="00464420" w:rsidRDefault="00297715" w:rsidP="0095366C">
      <w:pPr>
        <w:pStyle w:val="MIMBAR-NamaPenulis"/>
        <w:ind w:left="0" w:right="0"/>
      </w:pPr>
      <w:r w:rsidRPr="00464420">
        <w:rPr>
          <w:vertAlign w:val="superscript"/>
          <w:lang w:val="id-ID"/>
        </w:rPr>
        <w:t>3</w:t>
      </w:r>
      <w:r w:rsidR="00CC2FE8" w:rsidRPr="00464420">
        <w:t xml:space="preserve">ACHMAD KAUTSAR </w:t>
      </w:r>
      <w:r w:rsidR="00FE5AE4" w:rsidRPr="00464420">
        <w:rPr>
          <w:vertAlign w:val="superscript"/>
        </w:rPr>
        <w:t>4</w:t>
      </w:r>
      <w:r w:rsidR="00FE5AE4" w:rsidRPr="00464420">
        <w:t>CITRA KUMALA</w:t>
      </w:r>
      <w:r w:rsidR="003F4BCB" w:rsidRPr="00464420">
        <w:t xml:space="preserve"> </w:t>
      </w:r>
      <w:r w:rsidR="003F4BCB" w:rsidRPr="00464420">
        <w:rPr>
          <w:vertAlign w:val="superscript"/>
        </w:rPr>
        <w:t>5</w:t>
      </w:r>
      <w:r w:rsidR="00395573" w:rsidRPr="00464420">
        <w:t>DINDA AYU MAHARANI</w:t>
      </w:r>
    </w:p>
    <w:p w14:paraId="1C2423BF" w14:textId="77777777" w:rsidR="0095366C" w:rsidRPr="00464420" w:rsidRDefault="003F4BCB" w:rsidP="0095366C">
      <w:pPr>
        <w:pStyle w:val="MIMBAR-NamaPenulis"/>
        <w:ind w:left="0" w:right="0"/>
      </w:pPr>
      <w:r w:rsidRPr="00464420">
        <w:t xml:space="preserve"> </w:t>
      </w:r>
      <w:r w:rsidR="00A97368" w:rsidRPr="00464420">
        <w:rPr>
          <w:vertAlign w:val="superscript"/>
        </w:rPr>
        <w:t>6</w:t>
      </w:r>
      <w:r w:rsidR="00A97368" w:rsidRPr="00464420">
        <w:t>INSAN LUTFIANA ALFARIZY</w:t>
      </w:r>
      <w:r w:rsidR="00E179CB" w:rsidRPr="00464420">
        <w:t xml:space="preserve"> </w:t>
      </w:r>
      <w:r w:rsidR="00E179CB" w:rsidRPr="00464420">
        <w:rPr>
          <w:vertAlign w:val="superscript"/>
        </w:rPr>
        <w:t>7</w:t>
      </w:r>
      <w:r w:rsidR="00E179CB" w:rsidRPr="00464420">
        <w:t>ADIATMA YM SIREGAR</w:t>
      </w:r>
    </w:p>
    <w:p w14:paraId="317C1E65" w14:textId="08B865B2" w:rsidR="00455B2B" w:rsidRPr="00464420" w:rsidRDefault="0095366C" w:rsidP="0095366C">
      <w:pPr>
        <w:spacing w:after="0"/>
        <w:ind w:right="-46"/>
        <w:jc w:val="center"/>
        <w:rPr>
          <w:rFonts w:ascii="Verdana" w:hAnsi="Verdana" w:cs="Verdana"/>
          <w:sz w:val="16"/>
          <w:szCs w:val="16"/>
        </w:rPr>
      </w:pPr>
      <w:r w:rsidRPr="00464420">
        <w:rPr>
          <w:rFonts w:ascii="Verdana" w:hAnsi="Verdana" w:cs="Verdana"/>
          <w:position w:val="5"/>
          <w:sz w:val="9"/>
          <w:szCs w:val="9"/>
        </w:rPr>
        <w:t>1</w:t>
      </w:r>
      <w:r w:rsidR="00B66D7E" w:rsidRPr="00464420">
        <w:rPr>
          <w:rFonts w:ascii="Verdana" w:hAnsi="Verdana" w:cs="Verdana"/>
          <w:position w:val="5"/>
          <w:sz w:val="9"/>
          <w:szCs w:val="9"/>
        </w:rPr>
        <w:t xml:space="preserve"> 2</w:t>
      </w:r>
      <w:proofErr w:type="gramStart"/>
      <w:r w:rsidR="00B66D7E" w:rsidRPr="00464420">
        <w:rPr>
          <w:rFonts w:ascii="Verdana" w:hAnsi="Verdana" w:cs="Verdana"/>
          <w:position w:val="5"/>
          <w:sz w:val="9"/>
          <w:szCs w:val="9"/>
        </w:rPr>
        <w:t>,4,5,6</w:t>
      </w:r>
      <w:r w:rsidR="00E179CB" w:rsidRPr="00464420">
        <w:rPr>
          <w:rFonts w:ascii="Verdana" w:hAnsi="Verdana" w:cs="Verdana"/>
          <w:position w:val="5"/>
          <w:sz w:val="9"/>
          <w:szCs w:val="9"/>
        </w:rPr>
        <w:t>,7</w:t>
      </w:r>
      <w:proofErr w:type="gramEnd"/>
      <w:r w:rsidR="004B3C05" w:rsidRPr="00464420">
        <w:rPr>
          <w:rFonts w:ascii="Verdana" w:hAnsi="Verdana" w:cs="Verdana"/>
          <w:position w:val="5"/>
          <w:sz w:val="9"/>
          <w:szCs w:val="9"/>
        </w:rPr>
        <w:t xml:space="preserve"> </w:t>
      </w:r>
      <w:r w:rsidR="00267DC9">
        <w:rPr>
          <w:rFonts w:ascii="Verdana" w:hAnsi="Verdana" w:cs="Verdana"/>
          <w:sz w:val="16"/>
          <w:szCs w:val="16"/>
        </w:rPr>
        <w:t>Center for Economics and Development Studies, D</w:t>
      </w:r>
      <w:r w:rsidR="00455B2B" w:rsidRPr="00464420">
        <w:rPr>
          <w:rFonts w:ascii="Verdana" w:hAnsi="Verdana" w:cs="Verdana"/>
          <w:sz w:val="16"/>
          <w:szCs w:val="16"/>
        </w:rPr>
        <w:t xml:space="preserve">epartment of Economics, </w:t>
      </w:r>
      <w:r w:rsidR="00267DC9">
        <w:rPr>
          <w:rFonts w:ascii="Verdana" w:hAnsi="Verdana" w:cs="Verdana"/>
          <w:sz w:val="16"/>
          <w:szCs w:val="16"/>
        </w:rPr>
        <w:t xml:space="preserve">Faculty of Economics and Business, </w:t>
      </w:r>
      <w:proofErr w:type="spellStart"/>
      <w:r w:rsidR="00455B2B" w:rsidRPr="00464420">
        <w:rPr>
          <w:rFonts w:ascii="Verdana" w:hAnsi="Verdana" w:cs="Verdana"/>
          <w:sz w:val="16"/>
          <w:szCs w:val="16"/>
        </w:rPr>
        <w:t>Universitas</w:t>
      </w:r>
      <w:proofErr w:type="spellEnd"/>
      <w:r w:rsidR="00455B2B" w:rsidRPr="00464420">
        <w:rPr>
          <w:rFonts w:ascii="Verdana" w:hAnsi="Verdana" w:cs="Verdana"/>
          <w:sz w:val="16"/>
          <w:szCs w:val="16"/>
        </w:rPr>
        <w:t xml:space="preserve"> </w:t>
      </w:r>
      <w:proofErr w:type="spellStart"/>
      <w:r w:rsidR="00455B2B" w:rsidRPr="00464420">
        <w:rPr>
          <w:rFonts w:ascii="Verdana" w:hAnsi="Verdana" w:cs="Verdana"/>
          <w:sz w:val="16"/>
          <w:szCs w:val="16"/>
        </w:rPr>
        <w:t>Padjadjaran</w:t>
      </w:r>
      <w:proofErr w:type="spellEnd"/>
      <w:r w:rsidRPr="00464420">
        <w:rPr>
          <w:rFonts w:ascii="Verdana" w:hAnsi="Verdana" w:cs="Verdana"/>
          <w:sz w:val="16"/>
          <w:szCs w:val="16"/>
          <w:lang w:val="id-ID"/>
        </w:rPr>
        <w:t xml:space="preserve"> </w:t>
      </w:r>
    </w:p>
    <w:p w14:paraId="01A6D187" w14:textId="77777777" w:rsidR="0095366C" w:rsidRPr="00464420" w:rsidRDefault="00455B2B" w:rsidP="0095366C">
      <w:pPr>
        <w:spacing w:after="0"/>
        <w:ind w:right="-46"/>
        <w:jc w:val="center"/>
        <w:rPr>
          <w:rFonts w:ascii="Verdana" w:hAnsi="Verdana" w:cs="Verdana"/>
          <w:sz w:val="16"/>
          <w:szCs w:val="16"/>
        </w:rPr>
      </w:pPr>
      <w:r w:rsidRPr="00464420">
        <w:rPr>
          <w:rFonts w:ascii="Verdana" w:hAnsi="Verdana" w:cs="Verdana"/>
          <w:position w:val="5"/>
          <w:sz w:val="9"/>
          <w:szCs w:val="9"/>
        </w:rPr>
        <w:t>3</w:t>
      </w:r>
      <w:r w:rsidR="004B3C05" w:rsidRPr="00464420">
        <w:rPr>
          <w:rFonts w:ascii="Verdana" w:hAnsi="Verdana" w:cs="Verdana"/>
          <w:position w:val="5"/>
          <w:sz w:val="9"/>
          <w:szCs w:val="9"/>
        </w:rPr>
        <w:t xml:space="preserve"> </w:t>
      </w:r>
      <w:proofErr w:type="gramStart"/>
      <w:r w:rsidRPr="00464420">
        <w:rPr>
          <w:rFonts w:ascii="Verdana" w:hAnsi="Verdana" w:cs="Verdana"/>
          <w:sz w:val="16"/>
          <w:szCs w:val="16"/>
        </w:rPr>
        <w:t>Department</w:t>
      </w:r>
      <w:proofErr w:type="gramEnd"/>
      <w:r w:rsidRPr="00464420">
        <w:rPr>
          <w:rFonts w:ascii="Verdana" w:hAnsi="Verdana" w:cs="Verdana"/>
          <w:sz w:val="16"/>
          <w:szCs w:val="16"/>
        </w:rPr>
        <w:t xml:space="preserve"> of Economics, </w:t>
      </w:r>
      <w:proofErr w:type="spellStart"/>
      <w:r w:rsidRPr="00464420">
        <w:rPr>
          <w:rFonts w:ascii="Verdana" w:hAnsi="Verdana" w:cs="Verdana"/>
          <w:sz w:val="16"/>
          <w:szCs w:val="16"/>
        </w:rPr>
        <w:t>Universitas</w:t>
      </w:r>
      <w:proofErr w:type="spellEnd"/>
      <w:r w:rsidRPr="00464420">
        <w:rPr>
          <w:rFonts w:ascii="Verdana" w:hAnsi="Verdana" w:cs="Verdana"/>
          <w:sz w:val="16"/>
          <w:szCs w:val="16"/>
        </w:rPr>
        <w:t xml:space="preserve"> </w:t>
      </w:r>
      <w:proofErr w:type="spellStart"/>
      <w:r w:rsidRPr="00464420">
        <w:rPr>
          <w:rFonts w:ascii="Verdana" w:hAnsi="Verdana" w:cs="Verdana"/>
          <w:sz w:val="16"/>
          <w:szCs w:val="16"/>
        </w:rPr>
        <w:t>Pertamina</w:t>
      </w:r>
      <w:proofErr w:type="spellEnd"/>
      <w:r w:rsidR="0095366C" w:rsidRPr="00464420">
        <w:rPr>
          <w:rFonts w:ascii="Verdana" w:hAnsi="Verdana" w:cs="Verdana"/>
          <w:sz w:val="16"/>
          <w:szCs w:val="16"/>
          <w:lang w:val="id-ID"/>
        </w:rPr>
        <w:t xml:space="preserve">                   </w:t>
      </w:r>
    </w:p>
    <w:p w14:paraId="77C0CA6F" w14:textId="77777777" w:rsidR="00242896" w:rsidRPr="00464420" w:rsidRDefault="00F45B8B" w:rsidP="00242896">
      <w:pPr>
        <w:spacing w:before="5" w:after="0"/>
        <w:ind w:right="-46"/>
        <w:jc w:val="center"/>
        <w:rPr>
          <w:sz w:val="16"/>
          <w:szCs w:val="16"/>
        </w:rPr>
      </w:pPr>
      <w:proofErr w:type="gramStart"/>
      <w:r w:rsidRPr="00464420">
        <w:rPr>
          <w:rFonts w:ascii="Verdana" w:hAnsi="Verdana" w:cs="Verdana"/>
          <w:sz w:val="16"/>
          <w:szCs w:val="16"/>
        </w:rPr>
        <w:t>email</w:t>
      </w:r>
      <w:proofErr w:type="gramEnd"/>
      <w:r w:rsidR="0095366C" w:rsidRPr="00464420">
        <w:rPr>
          <w:rFonts w:ascii="Verdana" w:hAnsi="Verdana" w:cs="Verdana"/>
          <w:sz w:val="16"/>
          <w:szCs w:val="16"/>
        </w:rPr>
        <w:t xml:space="preserve">: </w:t>
      </w:r>
      <w:r w:rsidR="0095366C" w:rsidRPr="00464420">
        <w:rPr>
          <w:sz w:val="16"/>
          <w:szCs w:val="16"/>
          <w:vertAlign w:val="superscript"/>
        </w:rPr>
        <w:t>1</w:t>
      </w:r>
      <w:r w:rsidR="0035106A" w:rsidRPr="00464420">
        <w:rPr>
          <w:rFonts w:cstheme="minorBidi"/>
          <w:sz w:val="16"/>
          <w:szCs w:val="16"/>
        </w:rPr>
        <w:t>estro.sihaloho@unpad.ac.id</w:t>
      </w:r>
      <w:r w:rsidR="0095366C" w:rsidRPr="00464420">
        <w:rPr>
          <w:sz w:val="16"/>
          <w:szCs w:val="16"/>
          <w:lang w:val="id-ID"/>
        </w:rPr>
        <w:t>;</w:t>
      </w:r>
      <w:r w:rsidR="0095366C" w:rsidRPr="00464420">
        <w:rPr>
          <w:sz w:val="16"/>
          <w:szCs w:val="16"/>
        </w:rPr>
        <w:t xml:space="preserve"> </w:t>
      </w:r>
      <w:r w:rsidR="00242896" w:rsidRPr="00464420">
        <w:rPr>
          <w:sz w:val="16"/>
          <w:szCs w:val="16"/>
          <w:vertAlign w:val="superscript"/>
        </w:rPr>
        <w:t>2</w:t>
      </w:r>
      <w:r w:rsidR="000971BB" w:rsidRPr="00464420">
        <w:rPr>
          <w:rStyle w:val="Hyperlink"/>
          <w:color w:val="auto"/>
          <w:sz w:val="16"/>
          <w:szCs w:val="16"/>
          <w:u w:val="none"/>
        </w:rPr>
        <w:t>donnyhardiawan@gmail.com</w:t>
      </w:r>
      <w:r w:rsidR="0095366C" w:rsidRPr="00464420">
        <w:rPr>
          <w:sz w:val="16"/>
          <w:szCs w:val="16"/>
          <w:lang w:val="id-ID"/>
        </w:rPr>
        <w:t xml:space="preserve">; </w:t>
      </w:r>
    </w:p>
    <w:p w14:paraId="3A22EC7A" w14:textId="77777777" w:rsidR="0095366C" w:rsidRPr="00464420" w:rsidRDefault="0095366C" w:rsidP="00242896">
      <w:pPr>
        <w:spacing w:before="5" w:after="0"/>
        <w:ind w:right="-46"/>
        <w:jc w:val="center"/>
        <w:rPr>
          <w:sz w:val="16"/>
          <w:szCs w:val="16"/>
        </w:rPr>
      </w:pPr>
      <w:r w:rsidRPr="00464420">
        <w:rPr>
          <w:sz w:val="16"/>
          <w:szCs w:val="16"/>
          <w:vertAlign w:val="superscript"/>
        </w:rPr>
        <w:t>3</w:t>
      </w:r>
      <w:r w:rsidR="00242896" w:rsidRPr="00464420">
        <w:rPr>
          <w:rStyle w:val="Hyperlink"/>
          <w:rFonts w:cstheme="minorBidi"/>
          <w:color w:val="auto"/>
          <w:sz w:val="16"/>
          <w:szCs w:val="16"/>
          <w:u w:val="none"/>
        </w:rPr>
        <w:t>achmad.kautsar@universitaspertamina.ac.id;</w:t>
      </w:r>
      <w:r w:rsidR="00242896" w:rsidRPr="00464420">
        <w:rPr>
          <w:sz w:val="16"/>
          <w:szCs w:val="16"/>
          <w:vertAlign w:val="superscript"/>
        </w:rPr>
        <w:t xml:space="preserve"> 4 </w:t>
      </w:r>
      <w:r w:rsidR="00EB4AB7" w:rsidRPr="00464420">
        <w:rPr>
          <w:rStyle w:val="Hyperlink"/>
          <w:color w:val="auto"/>
          <w:sz w:val="16"/>
          <w:szCs w:val="16"/>
          <w:u w:val="none"/>
        </w:rPr>
        <w:t>citrakmla@gmail.com</w:t>
      </w:r>
      <w:r w:rsidR="00242896" w:rsidRPr="00464420">
        <w:rPr>
          <w:sz w:val="16"/>
          <w:szCs w:val="16"/>
          <w:lang w:val="id-ID"/>
        </w:rPr>
        <w:t>;</w:t>
      </w:r>
    </w:p>
    <w:p w14:paraId="68D6D5C4" w14:textId="77777777" w:rsidR="004C6833" w:rsidRPr="00464420" w:rsidRDefault="004C6833" w:rsidP="00242896">
      <w:pPr>
        <w:spacing w:before="5" w:after="0"/>
        <w:ind w:right="-46"/>
        <w:jc w:val="center"/>
        <w:rPr>
          <w:sz w:val="16"/>
          <w:szCs w:val="16"/>
        </w:rPr>
      </w:pPr>
      <w:r w:rsidRPr="00464420">
        <w:rPr>
          <w:sz w:val="16"/>
          <w:szCs w:val="16"/>
          <w:vertAlign w:val="superscript"/>
        </w:rPr>
        <w:t xml:space="preserve">5 </w:t>
      </w:r>
      <w:r w:rsidR="00A947EC" w:rsidRPr="00464420">
        <w:rPr>
          <w:rStyle w:val="Hyperlink"/>
          <w:color w:val="auto"/>
          <w:sz w:val="16"/>
          <w:szCs w:val="16"/>
          <w:u w:val="none"/>
        </w:rPr>
        <w:t>dindayumhrn@gmail.com</w:t>
      </w:r>
      <w:r w:rsidRPr="00464420">
        <w:rPr>
          <w:rStyle w:val="Hyperlink"/>
          <w:color w:val="auto"/>
          <w:sz w:val="16"/>
          <w:szCs w:val="16"/>
          <w:u w:val="none"/>
        </w:rPr>
        <w:t xml:space="preserve">; </w:t>
      </w:r>
      <w:r w:rsidRPr="00464420">
        <w:rPr>
          <w:sz w:val="16"/>
          <w:szCs w:val="16"/>
          <w:vertAlign w:val="superscript"/>
        </w:rPr>
        <w:t xml:space="preserve">6 </w:t>
      </w:r>
      <w:r w:rsidRPr="00464420">
        <w:rPr>
          <w:rStyle w:val="Hyperlink"/>
          <w:color w:val="auto"/>
          <w:sz w:val="16"/>
          <w:szCs w:val="16"/>
          <w:u w:val="none"/>
        </w:rPr>
        <w:t>insan.lutfiana@gmail.com</w:t>
      </w:r>
      <w:r w:rsidR="00E179CB" w:rsidRPr="00464420">
        <w:rPr>
          <w:rStyle w:val="Hyperlink"/>
          <w:color w:val="auto"/>
          <w:sz w:val="16"/>
          <w:szCs w:val="16"/>
          <w:u w:val="none"/>
        </w:rPr>
        <w:t xml:space="preserve">; </w:t>
      </w:r>
      <w:r w:rsidR="00E179CB" w:rsidRPr="00464420">
        <w:rPr>
          <w:rStyle w:val="Hyperlink"/>
          <w:color w:val="auto"/>
          <w:sz w:val="16"/>
          <w:szCs w:val="16"/>
          <w:u w:val="none"/>
          <w:vertAlign w:val="superscript"/>
        </w:rPr>
        <w:t>7</w:t>
      </w:r>
      <w:r w:rsidR="00E179CB" w:rsidRPr="00464420">
        <w:rPr>
          <w:rStyle w:val="Hyperlink"/>
          <w:color w:val="auto"/>
          <w:sz w:val="16"/>
          <w:szCs w:val="16"/>
          <w:u w:val="none"/>
        </w:rPr>
        <w:t>adiatma.siregar@unpad.ac.id</w:t>
      </w:r>
    </w:p>
    <w:p w14:paraId="14D3AB0E" w14:textId="77777777" w:rsidR="00297715" w:rsidRPr="00464420" w:rsidRDefault="00297715" w:rsidP="00297715">
      <w:pPr>
        <w:pStyle w:val="MIMBAR-Afiliasi"/>
        <w:rPr>
          <w:rFonts w:ascii="Calibri" w:hAnsi="Calibri" w:cs="Calibri"/>
        </w:rPr>
      </w:pPr>
    </w:p>
    <w:p w14:paraId="1755EC50" w14:textId="6103138D" w:rsidR="00665780" w:rsidRPr="00464420" w:rsidRDefault="00297715" w:rsidP="00665780">
      <w:pPr>
        <w:pStyle w:val="MIMBAR-Abstrak"/>
        <w:rPr>
          <w:sz w:val="19"/>
          <w:szCs w:val="19"/>
        </w:rPr>
      </w:pPr>
      <w:r w:rsidRPr="00464420">
        <w:rPr>
          <w:b/>
        </w:rPr>
        <w:t>Abstract.</w:t>
      </w:r>
      <w:r w:rsidR="00AC0BA8" w:rsidRPr="00464420">
        <w:t xml:space="preserve"> </w:t>
      </w:r>
      <w:r w:rsidR="00665780" w:rsidRPr="00464420">
        <w:t>This study aims to find the effect of district health spending on disease rate</w:t>
      </w:r>
      <w:r w:rsidR="00A632A0" w:rsidRPr="00464420">
        <w:t xml:space="preserve">s </w:t>
      </w:r>
      <w:r w:rsidR="00665780" w:rsidRPr="00464420">
        <w:t xml:space="preserve">in 131 districts on Sumatra Island in 2016. This study uses 3 multiple linear regression models for three types of diseases namely dengue fever, diarrhea, and tuberculosis. The study finds that </w:t>
      </w:r>
      <w:r w:rsidR="00371013">
        <w:t xml:space="preserve">higher </w:t>
      </w:r>
      <w:r w:rsidR="00665780" w:rsidRPr="00464420">
        <w:t xml:space="preserve">district health spending </w:t>
      </w:r>
      <w:r w:rsidR="00371013">
        <w:t>seem</w:t>
      </w:r>
      <w:r w:rsidR="004761F0">
        <w:t>e</w:t>
      </w:r>
      <w:r w:rsidR="00371013">
        <w:t xml:space="preserve">d to be associated with lower </w:t>
      </w:r>
      <w:r w:rsidR="00665780" w:rsidRPr="00464420">
        <w:t xml:space="preserve">number of dengue fever, diarrhea, and tuberculosis but not significant. This condition can be caused by the inefficient use of district health expenditure. This study finds </w:t>
      </w:r>
      <w:r w:rsidR="00371013">
        <w:t xml:space="preserve">that </w:t>
      </w:r>
      <w:r w:rsidR="00665780" w:rsidRPr="00464420">
        <w:t xml:space="preserve">the number of health centers has a negative and significant effect on the number of dengue fever, diarrhea, and tuberculosis. Conversely, </w:t>
      </w:r>
      <w:r w:rsidR="002D18AB" w:rsidRPr="00464420">
        <w:t xml:space="preserve">population and </w:t>
      </w:r>
      <w:r w:rsidR="00665780" w:rsidRPr="00464420">
        <w:t>population density ha</w:t>
      </w:r>
      <w:r w:rsidR="00A632A0" w:rsidRPr="00464420">
        <w:t>ve</w:t>
      </w:r>
      <w:r w:rsidR="00665780" w:rsidRPr="00464420">
        <w:t xml:space="preserve"> a positive and significant effect on the number of </w:t>
      </w:r>
      <w:r w:rsidR="00371013">
        <w:t>cases of the diseases</w:t>
      </w:r>
      <w:r w:rsidR="00A632A0" w:rsidRPr="00464420">
        <w:t>.</w:t>
      </w:r>
    </w:p>
    <w:p w14:paraId="565783B1" w14:textId="77777777" w:rsidR="00297715" w:rsidRPr="00464420" w:rsidRDefault="00297715" w:rsidP="00825D9D">
      <w:pPr>
        <w:pStyle w:val="MIMBAR-KataKunci"/>
        <w:spacing w:after="880"/>
        <w:jc w:val="left"/>
        <w:sectPr w:rsidR="00297715" w:rsidRPr="00464420" w:rsidSect="00297715">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432" w:footer="432" w:gutter="0"/>
          <w:cols w:space="708"/>
          <w:titlePg/>
          <w:docGrid w:linePitch="360"/>
        </w:sectPr>
      </w:pPr>
      <w:r w:rsidRPr="00464420">
        <w:t>Key</w:t>
      </w:r>
      <w:r w:rsidRPr="00464420">
        <w:rPr>
          <w:lang w:val="id-ID"/>
        </w:rPr>
        <w:t>w</w:t>
      </w:r>
      <w:proofErr w:type="spellStart"/>
      <w:r w:rsidRPr="00464420">
        <w:t>ords</w:t>
      </w:r>
      <w:proofErr w:type="spellEnd"/>
      <w:r w:rsidRPr="00464420">
        <w:t>:</w:t>
      </w:r>
      <w:r w:rsidRPr="00464420">
        <w:rPr>
          <w:lang w:val="id-ID"/>
        </w:rPr>
        <w:t xml:space="preserve"> </w:t>
      </w:r>
      <w:proofErr w:type="spellStart"/>
      <w:r w:rsidR="00825D9D" w:rsidRPr="00464420">
        <w:rPr>
          <w:i w:val="0"/>
        </w:rPr>
        <w:t>distict</w:t>
      </w:r>
      <w:proofErr w:type="spellEnd"/>
      <w:r w:rsidR="00825D9D" w:rsidRPr="00464420">
        <w:rPr>
          <w:i w:val="0"/>
        </w:rPr>
        <w:t xml:space="preserve"> health spending, disease rates</w:t>
      </w:r>
    </w:p>
    <w:p w14:paraId="7663F3D7" w14:textId="77777777" w:rsidR="00297715" w:rsidRPr="00464420" w:rsidRDefault="00297715" w:rsidP="00297715">
      <w:pPr>
        <w:pStyle w:val="MIMBAR-Section"/>
      </w:pPr>
      <w:r w:rsidRPr="00464420">
        <w:lastRenderedPageBreak/>
        <w:t>Introduction</w:t>
      </w:r>
    </w:p>
    <w:p w14:paraId="00868AD9" w14:textId="671A11D4" w:rsidR="004C7B3B" w:rsidRDefault="00267DC9" w:rsidP="009A2BEF">
      <w:pPr>
        <w:ind w:firstLine="720"/>
        <w:jc w:val="both"/>
        <w:rPr>
          <w:rFonts w:ascii="Verdana" w:hAnsi="Verdana"/>
          <w:sz w:val="19"/>
          <w:szCs w:val="19"/>
        </w:rPr>
      </w:pPr>
      <w:r>
        <w:rPr>
          <w:rFonts w:ascii="Verdana" w:hAnsi="Verdana"/>
          <w:sz w:val="19"/>
          <w:szCs w:val="19"/>
        </w:rPr>
        <w:t>Currently, the amount of health budget varies greatly among countries, with developing countries usually having relatively low share out of</w:t>
      </w:r>
      <w:r w:rsidR="00A4752F">
        <w:rPr>
          <w:rFonts w:ascii="Verdana" w:hAnsi="Verdana"/>
          <w:sz w:val="19"/>
          <w:szCs w:val="19"/>
        </w:rPr>
        <w:t xml:space="preserve"> the government expenditure </w:t>
      </w:r>
      <w:r w:rsidR="00A4752F">
        <w:rPr>
          <w:rFonts w:ascii="Verdana" w:hAnsi="Verdana"/>
          <w:sz w:val="19"/>
          <w:szCs w:val="19"/>
        </w:rPr>
        <w:fldChar w:fldCharType="begin" w:fldLock="1"/>
      </w:r>
      <w:r w:rsidR="00470354">
        <w:rPr>
          <w:rFonts w:ascii="Verdana" w:hAnsi="Verdana"/>
          <w:sz w:val="19"/>
          <w:szCs w:val="19"/>
        </w:rPr>
        <w:instrText>ADDIN CSL_CITATION {"citationItems":[{"id":"ITEM-1","itemData":{"author":[{"dropping-particle":"","family":"Ke","given":"Xu","non-dropping-particle":"","parse-names":false,"suffix":""},{"dropping-particle":"","family":"Saksena","given":"Priyanka","non-dropping-particle":"","parse-names":false,"suffix":""},{"dropping-particle":"","family":"Holly","given":"Alberto","non-dropping-particle":"","parse-names":false,"suffix":""}],"container-title":"Geneva: World Health Organization","id":"ITEM-1","issued":{"date-parts":[["2011"]]},"title":"The determinants of health expenditure: a country-level panel data analysis","type":"article-journal","volume":"26"},"uris":["http://www.mendeley.com/documents/?uuid=fc96e158-c698-4bb5-97a8-2720c5f76c82"]}],"mendeley":{"formattedCitation":"(Ke, Saksena, &amp; Holly, 2011)","plainTextFormattedCitation":"(Ke, Saksena, &amp; Holly, 2011)","previouslyFormattedCitation":"(Ke, Saksena, &amp; Holly, 2011)"},"properties":{"noteIndex":0},"schema":"https://github.com/citation-style-language/schema/raw/master/csl-citation.json"}</w:instrText>
      </w:r>
      <w:r w:rsidR="00A4752F">
        <w:rPr>
          <w:rFonts w:ascii="Verdana" w:hAnsi="Verdana"/>
          <w:sz w:val="19"/>
          <w:szCs w:val="19"/>
        </w:rPr>
        <w:fldChar w:fldCharType="separate"/>
      </w:r>
      <w:r w:rsidR="00A4752F" w:rsidRPr="00A4752F">
        <w:rPr>
          <w:rFonts w:ascii="Verdana" w:hAnsi="Verdana"/>
          <w:noProof/>
          <w:sz w:val="19"/>
          <w:szCs w:val="19"/>
        </w:rPr>
        <w:t>(Ke, Saksena, &amp; Holly, 2011)</w:t>
      </w:r>
      <w:r w:rsidR="00A4752F">
        <w:rPr>
          <w:rFonts w:ascii="Verdana" w:hAnsi="Verdana"/>
          <w:sz w:val="19"/>
          <w:szCs w:val="19"/>
        </w:rPr>
        <w:fldChar w:fldCharType="end"/>
      </w:r>
      <w:r>
        <w:rPr>
          <w:rFonts w:ascii="Verdana" w:hAnsi="Verdana"/>
          <w:sz w:val="19"/>
          <w:szCs w:val="19"/>
        </w:rPr>
        <w:t>. This is an important issue as h</w:t>
      </w:r>
      <w:r w:rsidR="00D879F6" w:rsidRPr="00464420">
        <w:rPr>
          <w:rFonts w:ascii="Verdana" w:hAnsi="Verdana"/>
          <w:sz w:val="19"/>
          <w:szCs w:val="19"/>
        </w:rPr>
        <w:t xml:space="preserve">ealth budget is </w:t>
      </w:r>
      <w:r>
        <w:rPr>
          <w:rFonts w:ascii="Verdana" w:hAnsi="Verdana"/>
          <w:sz w:val="19"/>
          <w:szCs w:val="19"/>
        </w:rPr>
        <w:t xml:space="preserve">one </w:t>
      </w:r>
      <w:r w:rsidR="00D879F6" w:rsidRPr="00464420">
        <w:rPr>
          <w:rFonts w:ascii="Verdana" w:hAnsi="Verdana"/>
          <w:sz w:val="19"/>
          <w:szCs w:val="19"/>
        </w:rPr>
        <w:t>the important factor</w:t>
      </w:r>
      <w:r>
        <w:rPr>
          <w:rFonts w:ascii="Verdana" w:hAnsi="Verdana"/>
          <w:sz w:val="19"/>
          <w:szCs w:val="19"/>
        </w:rPr>
        <w:t>s</w:t>
      </w:r>
      <w:r w:rsidR="00D879F6" w:rsidRPr="00464420">
        <w:rPr>
          <w:rFonts w:ascii="Verdana" w:hAnsi="Verdana"/>
          <w:sz w:val="19"/>
          <w:szCs w:val="19"/>
        </w:rPr>
        <w:t xml:space="preserve"> </w:t>
      </w:r>
      <w:r w:rsidR="00DD0C18" w:rsidRPr="00464420">
        <w:rPr>
          <w:rFonts w:ascii="Verdana" w:hAnsi="Verdana"/>
          <w:sz w:val="19"/>
          <w:szCs w:val="19"/>
        </w:rPr>
        <w:t>to overcome</w:t>
      </w:r>
      <w:r w:rsidR="00D879F6" w:rsidRPr="00464420">
        <w:rPr>
          <w:rFonts w:ascii="Verdana" w:hAnsi="Verdana"/>
          <w:sz w:val="19"/>
          <w:szCs w:val="19"/>
        </w:rPr>
        <w:t xml:space="preserve"> various health problems </w:t>
      </w:r>
      <w:r w:rsidR="00D879F6" w:rsidRPr="00464420">
        <w:rPr>
          <w:rFonts w:ascii="Verdana" w:hAnsi="Verdana"/>
          <w:sz w:val="19"/>
          <w:szCs w:val="19"/>
        </w:rPr>
        <w:fldChar w:fldCharType="begin" w:fldLock="1"/>
      </w:r>
      <w:r w:rsidR="004C7B3B">
        <w:rPr>
          <w:rFonts w:ascii="Verdana" w:hAnsi="Verdana"/>
          <w:sz w:val="19"/>
          <w:szCs w:val="19"/>
        </w:rPr>
        <w:instrText>ADDIN CSL_CITATION {"citationItems":[{"id":"ITEM-1","itemData":{"DOI":"10.1016/j.jhealeco.2007.12.002","ISSN":"01676296","PMID":"18261812","abstract":"Empirical evidence has hitherto been inconclusive about the strength of the link between health care spending and health outcomes. This paper uses programme budgeting data prepared by 295 English Primary Care Trusts to model the link for two specific programmes of care: cancer and circulatory diseases. A theoretical model is developed in which decision-makers must allocate a fixed budget across programmes of care so as to maximize social welfare, in the light of a health production function for each programme. This yields an expenditure equation and a health outcomes equation for each programme. These are estimated for the two programmes of care using instrumental variables methods. All the equations prove to be well specified. They suggest that the cost of a life year saved in cancer is about £13,100, and in circulation about £8000. These results challenge the widely held view that health care has little marginal impact on health. From a policy perspective, they can help set priorities by informing resource allocation across programmes of care. They can also help health technology agencies decide whether their cost-effectiveness thresholds for accepting new technologies are set at the right level. © 2008 Elsevier B.V. All rights reserved.","author":[{"dropping-particle":"","family":"Martin","given":"Stephen","non-dropping-particle":"","parse-names":false,"suffix":""},{"dropping-particle":"","family":"Rice","given":"Nigel","non-dropping-particle":"","parse-names":false,"suffix":""},{"dropping-particle":"","family":"Smith","given":"Peter C.","non-dropping-particle":"","parse-names":false,"suffix":""}],"container-title":"Journal of Health Economics","id":"ITEM-1","issue":"4","issued":{"date-parts":[["2008"]]},"page":"826-842","title":"Does health care spending improve health outcomes? Evidence from English programme budgeting data","type":"article-journal","volume":"27"},"uris":["http://www.mendeley.com/documents/?uuid=85b323bc-aa8a-433f-81e4-f93351a78222","http://www.mendeley.com/documents/?uuid=e60ae184-e3f5-4031-a107-71023cef996e","http://www.mendeley.com/documents/?uuid=ac294a6a-ad5f-4ec5-8802-494a9dc77ce7"]},{"id":"ITEM-2","itemData":{"DOI":"10.1016/j.healthpol.2012.11.001","ISSN":"01688510","abstract":"In 2009, Germany's Statutory Health Insurance System underwent a major financing reform. A uniform contribution rate set by government was introduced. Sickness funds retain only limited autonomy in charging additional premiums. A dynamic subsidy from general revenue was introduced. The aims of the reform were: (1) intensifying competition, (2) gearing competition towards quality and efficiency, and (3) increasing financial sustainability. This article describes the reform, presents the experiences made, and evaluates whether the policy aims have been met.Experiences have been mixed: on the one hand, the new arrangement showed a high level of flexibility in dealing with the severe recession in 2009. On the other hand, the new system of price differentiation has proven to be dysfunctional. Payments to sickness funds are based on predictions. But predictions have been of limited accuracy, and this has led to an accumulation of liquidity in the system.Price competition has been effectively eliminated. The intended surge in quality and product competition failed to appear, as sickness funds remain concerned mainly with their short term financial outlook. SHI finance has become more linked to the federal budget, leading to a higher level of political interventions. These arrangements will need a new reform - probably after the next general election in autumn 2013. © 2012 Elsevier Ireland Ltd.","author":[{"dropping-particle":"","family":"Göpffarth","given":"Dirk","non-dropping-particle":"","parse-names":false,"suffix":""},{"dropping-particle":"","family":"Henke","given":"Klaus Dirk","non-dropping-particle":"","parse-names":false,"suffix":""}],"container-title":"Health Policy","id":"ITEM-2","issue":"3","issued":{"date-parts":[["2013"]]},"page":"246-252","publisher":"Elsevier Ireland Ltd","title":"The German Central Health Fund-Recent developments in health care financing in Germany","type":"article-journal","volume":"109"},"uris":["http://www.mendeley.com/documents/?uuid=ed217dac-023b-42bb-91d0-71ce6e0ab269"]}],"mendeley":{"formattedCitation":"(Göpffarth &amp; Henke, 2013; Martin, Rice, &amp; Smith, 2008)","plainTextFormattedCitation":"(Göpffarth &amp; Henke, 2013; Martin, Rice, &amp; Smith, 2008)","previouslyFormattedCitation":"(Göpffarth &amp; Henke, 2013; Martin, Rice, &amp; Smith, 2008)"},"properties":{"noteIndex":0},"schema":"https://github.com/citation-style-language/schema/raw/master/csl-citation.json"}</w:instrText>
      </w:r>
      <w:r w:rsidR="00D879F6" w:rsidRPr="00464420">
        <w:rPr>
          <w:rFonts w:ascii="Verdana" w:hAnsi="Verdana"/>
          <w:sz w:val="19"/>
          <w:szCs w:val="19"/>
        </w:rPr>
        <w:fldChar w:fldCharType="separate"/>
      </w:r>
      <w:r w:rsidR="00D10A8A" w:rsidRPr="00D10A8A">
        <w:rPr>
          <w:rFonts w:ascii="Verdana" w:hAnsi="Verdana"/>
          <w:noProof/>
          <w:sz w:val="19"/>
          <w:szCs w:val="19"/>
        </w:rPr>
        <w:t>(Göpffarth &amp; Henke, 2013; Martin, Rice, &amp; Smith, 2008)</w:t>
      </w:r>
      <w:r w:rsidR="00D879F6" w:rsidRPr="00464420">
        <w:rPr>
          <w:rFonts w:ascii="Verdana" w:hAnsi="Verdana"/>
          <w:sz w:val="19"/>
          <w:szCs w:val="19"/>
        </w:rPr>
        <w:fldChar w:fldCharType="end"/>
      </w:r>
      <w:r w:rsidR="00D879F6" w:rsidRPr="00464420">
        <w:rPr>
          <w:rFonts w:ascii="Verdana" w:hAnsi="Verdana"/>
          <w:sz w:val="19"/>
          <w:szCs w:val="19"/>
        </w:rPr>
        <w:t xml:space="preserve">. </w:t>
      </w:r>
      <w:r w:rsidR="00D10A8A">
        <w:rPr>
          <w:rFonts w:ascii="Verdana" w:hAnsi="Verdana"/>
          <w:sz w:val="19"/>
          <w:szCs w:val="19"/>
        </w:rPr>
        <w:t>Higher share of health expenditure may result in sustaining more health care workers</w:t>
      </w:r>
      <w:r w:rsidR="003566F3" w:rsidRPr="00464420">
        <w:rPr>
          <w:rFonts w:ascii="Verdana" w:hAnsi="Verdana"/>
          <w:sz w:val="19"/>
          <w:szCs w:val="19"/>
        </w:rPr>
        <w:t xml:space="preserve">. </w:t>
      </w:r>
      <w:r w:rsidR="00E75BED" w:rsidRPr="00464420">
        <w:rPr>
          <w:rFonts w:ascii="Verdana" w:hAnsi="Verdana"/>
          <w:sz w:val="19"/>
          <w:szCs w:val="19"/>
        </w:rPr>
        <w:fldChar w:fldCharType="begin" w:fldLock="1"/>
      </w:r>
      <w:r w:rsidR="00D10A8A">
        <w:rPr>
          <w:rFonts w:ascii="Verdana" w:hAnsi="Verdana"/>
          <w:sz w:val="19"/>
          <w:szCs w:val="19"/>
        </w:rPr>
        <w:instrText>ADDIN CSL_CITATION {"citationItems":[{"id":"ITEM-1","itemData":{"DOI":"10.1016/j.jhealeco.2004.09.003","ISSN":"01676296","abstract":"This paper aims to measure whether there are country variations in the efficiency of the physician workforce in reducing various measures of mortality across 21 OECD countries over 3 decades. It utilises a multilevel modelling approach both to measure country variations in physician efficiency and to explore the determinants of these variations. The results suggested that physician numbers are an important determinant of mortality across OECD countries, and cross-country heterogeneity in the effect of physician availability on health is significant. We also found that availability of advanced medical technology is an important factor intervening in this relationship. © 2004 Elsevier B.V. All rights reserved.","author":[{"dropping-particle":"","family":"Or","given":"Zeynep","non-dropping-particle":"","parse-names":false,"suffix":""},{"dropping-particle":"","family":"Wang","given":"Jia","non-dropping-particle":"","parse-names":false,"suffix":""},{"dropping-particle":"","family":"Jamison","given":"Dean","non-dropping-particle":"","parse-names":false,"suffix":""}],"container-title":"Journal of Health Economics","id":"ITEM-1","issue":"3","issued":{"date-parts":[["2005"]]},"page":"531-560","title":"International differences in the impact of doctors on health: A multilevel analysis of OECD countries","type":"article-journal","volume":"24"},"uris":["http://www.mendeley.com/documents/?uuid=28b73c89-fdb3-4717-81f8-f8756ab6178e","http://www.mendeley.com/documents/?uuid=1e632027-461d-47ac-a783-0535ca0a2b97","http://www.mendeley.com/documents/?uuid=0cd034e6-8379-46f4-9704-962626f0c6c5"]}],"mendeley":{"formattedCitation":"(Or, Wang, &amp; Jamison, 2005)","manualFormatting":"Or, et al. (2005)","plainTextFormattedCitation":"(Or, Wang, &amp; Jamison, 2005)","previouslyFormattedCitation":"(Or, Wang, &amp; Jamison, 2005)"},"properties":{"noteIndex":0},"schema":"https://github.com/citation-style-language/schema/raw/master/csl-citation.json"}</w:instrText>
      </w:r>
      <w:r w:rsidR="00E75BED" w:rsidRPr="00464420">
        <w:rPr>
          <w:rFonts w:ascii="Verdana" w:hAnsi="Verdana"/>
          <w:sz w:val="19"/>
          <w:szCs w:val="19"/>
        </w:rPr>
        <w:fldChar w:fldCharType="separate"/>
      </w:r>
      <w:r w:rsidR="00E75BED" w:rsidRPr="00464420">
        <w:rPr>
          <w:rFonts w:ascii="Verdana" w:hAnsi="Verdana"/>
          <w:noProof/>
          <w:sz w:val="19"/>
          <w:szCs w:val="19"/>
        </w:rPr>
        <w:t>Or, et al. (2005)</w:t>
      </w:r>
      <w:r w:rsidR="00E75BED" w:rsidRPr="00464420">
        <w:rPr>
          <w:rFonts w:ascii="Verdana" w:hAnsi="Verdana"/>
          <w:sz w:val="19"/>
          <w:szCs w:val="19"/>
        </w:rPr>
        <w:fldChar w:fldCharType="end"/>
      </w:r>
      <w:r w:rsidR="00E75BED" w:rsidRPr="00464420">
        <w:rPr>
          <w:rFonts w:ascii="Verdana" w:hAnsi="Verdana"/>
          <w:sz w:val="19"/>
          <w:szCs w:val="19"/>
        </w:rPr>
        <w:t xml:space="preserve"> </w:t>
      </w:r>
      <w:r w:rsidR="00D879F6" w:rsidRPr="00464420">
        <w:rPr>
          <w:rFonts w:ascii="Verdana" w:hAnsi="Verdana"/>
          <w:sz w:val="19"/>
          <w:szCs w:val="19"/>
        </w:rPr>
        <w:t>show</w:t>
      </w:r>
      <w:r w:rsidR="00E75BED" w:rsidRPr="00464420">
        <w:rPr>
          <w:rFonts w:ascii="Verdana" w:hAnsi="Verdana"/>
          <w:sz w:val="19"/>
          <w:szCs w:val="19"/>
        </w:rPr>
        <w:t>ed</w:t>
      </w:r>
      <w:r w:rsidR="00D879F6" w:rsidRPr="00464420">
        <w:rPr>
          <w:rFonts w:ascii="Verdana" w:hAnsi="Verdana"/>
          <w:sz w:val="19"/>
          <w:szCs w:val="19"/>
        </w:rPr>
        <w:t xml:space="preserve"> that the large number of doctors can improve health. </w:t>
      </w:r>
      <w:r w:rsidR="00E75BED" w:rsidRPr="00464420">
        <w:rPr>
          <w:rFonts w:ascii="Verdana" w:hAnsi="Verdana"/>
          <w:sz w:val="19"/>
          <w:szCs w:val="19"/>
        </w:rPr>
        <w:t xml:space="preserve">The ratio of doctors to population in </w:t>
      </w:r>
      <w:r w:rsidR="00D879F6" w:rsidRPr="00464420">
        <w:rPr>
          <w:rFonts w:ascii="Verdana" w:hAnsi="Verdana"/>
          <w:sz w:val="19"/>
          <w:szCs w:val="19"/>
        </w:rPr>
        <w:t>developed countries like the United States amounted to 35.67 doctors per 10,000 population</w:t>
      </w:r>
      <w:r w:rsidR="00E75BED" w:rsidRPr="00464420">
        <w:rPr>
          <w:rFonts w:ascii="Verdana" w:hAnsi="Verdana"/>
          <w:sz w:val="19"/>
          <w:szCs w:val="19"/>
        </w:rPr>
        <w:t xml:space="preserve"> in 2016</w:t>
      </w:r>
      <w:r w:rsidR="00D879F6" w:rsidRPr="00464420">
        <w:rPr>
          <w:rFonts w:ascii="Verdana" w:hAnsi="Verdana"/>
          <w:sz w:val="19"/>
          <w:szCs w:val="19"/>
        </w:rPr>
        <w:t xml:space="preserve">, whereas for developing </w:t>
      </w:r>
      <w:r w:rsidR="00D879F6" w:rsidRPr="00464420">
        <w:rPr>
          <w:rFonts w:ascii="Verdana" w:hAnsi="Verdana"/>
          <w:sz w:val="19"/>
          <w:szCs w:val="19"/>
        </w:rPr>
        <w:lastRenderedPageBreak/>
        <w:t>countries like Indonesia</w:t>
      </w:r>
      <w:r w:rsidR="00E75BED" w:rsidRPr="00464420">
        <w:rPr>
          <w:rFonts w:ascii="Verdana" w:hAnsi="Verdana"/>
          <w:sz w:val="19"/>
          <w:szCs w:val="19"/>
        </w:rPr>
        <w:t xml:space="preserve">, the </w:t>
      </w:r>
      <w:r w:rsidR="00D879F6" w:rsidRPr="00464420">
        <w:rPr>
          <w:rFonts w:ascii="Verdana" w:hAnsi="Verdana"/>
          <w:sz w:val="19"/>
          <w:szCs w:val="19"/>
        </w:rPr>
        <w:t xml:space="preserve">ratio of </w:t>
      </w:r>
      <w:r w:rsidR="00E75BED" w:rsidRPr="00464420">
        <w:rPr>
          <w:rFonts w:ascii="Verdana" w:hAnsi="Verdana"/>
          <w:sz w:val="19"/>
          <w:szCs w:val="19"/>
        </w:rPr>
        <w:t xml:space="preserve">doctors to population was only </w:t>
      </w:r>
      <w:r w:rsidR="00D879F6" w:rsidRPr="00464420">
        <w:rPr>
          <w:rFonts w:ascii="Verdana" w:hAnsi="Verdana"/>
          <w:sz w:val="19"/>
          <w:szCs w:val="19"/>
        </w:rPr>
        <w:t xml:space="preserve">4.27 doctors per 10,000 population in 2018 </w:t>
      </w:r>
      <w:r w:rsidR="00D879F6" w:rsidRPr="00464420">
        <w:rPr>
          <w:rFonts w:ascii="Verdana" w:hAnsi="Verdana"/>
          <w:sz w:val="19"/>
          <w:szCs w:val="19"/>
        </w:rPr>
        <w:fldChar w:fldCharType="begin" w:fldLock="1"/>
      </w:r>
      <w:r w:rsidR="00D10A8A">
        <w:rPr>
          <w:rFonts w:ascii="Verdana" w:hAnsi="Verdana"/>
          <w:sz w:val="19"/>
          <w:szCs w:val="19"/>
        </w:rPr>
        <w:instrText>ADDIN CSL_CITATION {"citationItems":[{"id":"ITEM-1","itemData":{"author":[{"dropping-particle":"","family":"WHO","given":"","non-dropping-particle":"","parse-names":false,"suffix":""}],"id":"ITEM-1","issued":{"date-parts":[["2020"]]},"title":"Medical Doctor (per 10000 population)","type":"webpage"},"uris":["http://www.mendeley.com/documents/?uuid=68850aab-b742-4cf3-880e-8919bdd6f30e","http://www.mendeley.com/documents/?uuid=67c6f5ba-60fc-4520-b589-25da11b87dcc","http://www.mendeley.com/documents/?uuid=023c7243-964c-43d8-a7d8-fb986ab8581a"]}],"mendeley":{"formattedCitation":"(WHO, 2020)","plainTextFormattedCitation":"(WHO, 2020)","previouslyFormattedCitation":"(WHO, 2020)"},"properties":{"noteIndex":0},"schema":"https://github.com/citation-style-language/schema/raw/master/csl-citation.json"}</w:instrText>
      </w:r>
      <w:r w:rsidR="00D879F6" w:rsidRPr="00464420">
        <w:rPr>
          <w:rFonts w:ascii="Verdana" w:hAnsi="Verdana"/>
          <w:sz w:val="19"/>
          <w:szCs w:val="19"/>
        </w:rPr>
        <w:fldChar w:fldCharType="separate"/>
      </w:r>
      <w:r w:rsidR="00D879F6" w:rsidRPr="00464420">
        <w:rPr>
          <w:rFonts w:ascii="Verdana" w:hAnsi="Verdana"/>
          <w:noProof/>
          <w:sz w:val="19"/>
          <w:szCs w:val="19"/>
        </w:rPr>
        <w:t>(WHO, 2020)</w:t>
      </w:r>
      <w:r w:rsidR="00D879F6" w:rsidRPr="00464420">
        <w:rPr>
          <w:rFonts w:ascii="Verdana" w:hAnsi="Verdana"/>
          <w:sz w:val="19"/>
          <w:szCs w:val="19"/>
        </w:rPr>
        <w:fldChar w:fldCharType="end"/>
      </w:r>
      <w:r w:rsidR="00D879F6" w:rsidRPr="00464420">
        <w:rPr>
          <w:rFonts w:ascii="Verdana" w:hAnsi="Verdana"/>
          <w:sz w:val="19"/>
          <w:szCs w:val="19"/>
        </w:rPr>
        <w:t xml:space="preserve">. In addition, health assistance by the government to the community is </w:t>
      </w:r>
      <w:r w:rsidR="00E75BED" w:rsidRPr="00464420">
        <w:rPr>
          <w:rFonts w:ascii="Verdana" w:hAnsi="Verdana"/>
          <w:sz w:val="19"/>
          <w:szCs w:val="19"/>
        </w:rPr>
        <w:t>largely</w:t>
      </w:r>
      <w:r w:rsidR="00D879F6" w:rsidRPr="00464420">
        <w:rPr>
          <w:rFonts w:ascii="Verdana" w:hAnsi="Verdana"/>
          <w:sz w:val="19"/>
          <w:szCs w:val="19"/>
        </w:rPr>
        <w:t xml:space="preserve"> important because it can help </w:t>
      </w:r>
      <w:r w:rsidR="00E75BED" w:rsidRPr="00464420">
        <w:rPr>
          <w:rFonts w:ascii="Verdana" w:hAnsi="Verdana"/>
          <w:sz w:val="19"/>
          <w:szCs w:val="19"/>
        </w:rPr>
        <w:t xml:space="preserve">to </w:t>
      </w:r>
      <w:r w:rsidR="00D879F6" w:rsidRPr="00464420">
        <w:rPr>
          <w:rFonts w:ascii="Verdana" w:hAnsi="Verdana"/>
          <w:sz w:val="19"/>
          <w:szCs w:val="19"/>
        </w:rPr>
        <w:t xml:space="preserve">ease the burden on the community to take medication </w:t>
      </w:r>
      <w:r w:rsidR="00D879F6" w:rsidRPr="00464420">
        <w:rPr>
          <w:rFonts w:ascii="Verdana" w:hAnsi="Verdana"/>
          <w:sz w:val="19"/>
          <w:szCs w:val="19"/>
        </w:rPr>
        <w:fldChar w:fldCharType="begin" w:fldLock="1"/>
      </w:r>
      <w:r w:rsidR="00D10A8A">
        <w:rPr>
          <w:rFonts w:ascii="Verdana" w:hAnsi="Verdana"/>
          <w:sz w:val="19"/>
          <w:szCs w:val="19"/>
        </w:rPr>
        <w:instrText>ADDIN CSL_CITATION {"citationItems":[{"id":"ITEM-1","itemData":{"DOI":"10.1073/pnas.0608483103","ISSN":"00278424","abstract":"Changes in the health and functioning of the Medicare-enrolled population aged 65+ are tracked by using the 1982-2004/2005 National Long-Term Care Surveys. We found a significant rate of decline in the prevalence of chronic disability that accelerated from 1982 to 2004. These declines are significant for both persons with less severe chronic disability, which might be compensated by modifying the built environment and providing assistive devices, and for persons with more serious disability, which may be affected by reductions in the incidence and severity of disease through biomedical interventions. Declines in chronic disability continued over the 22-year period at a rate fast enough (i.e., 1.52% per annum) to contribute significantly to the long-term fiscal stability of the Medicare (and Medicaid) programs. Changes in the rate and substance of disability declines seem consistent with the intentions of policy interventions in Medicare and Medicaid. © 2006 by The National Academy of Sciences of the USA.","author":[{"dropping-particle":"","family":"Manton","given":"Kenneth G.","non-dropping-particle":"","parse-names":false,"suffix":""},{"dropping-particle":"","family":"Gu","given":"Xi Liang","non-dropping-particle":"","parse-names":false,"suffix":""},{"dropping-particle":"","family":"Lamb","given":"Vicki L.","non-dropping-particle":"","parse-names":false,"suffix":""}],"container-title":"Proceedings of the National Academy of Sciences of the United States of America","id":"ITEM-1","issue":"48","issued":{"date-parts":[["2006"]]},"page":"18374-18379","title":"Change in chronic disability from 1982 to 2004/2005 as measured by long-term changes in function and health in the U.S. elderly population","type":"article-journal","volume":"103"},"uris":["http://www.mendeley.com/documents/?uuid=088f1929-0f62-4599-8e31-28a6301a64bd","http://www.mendeley.com/documents/?uuid=63f5a463-ac45-4a21-abfb-387ab9eab5b9","http://www.mendeley.com/documents/?uuid=819093b5-7cfc-423b-81c2-225df24b286b"]}],"mendeley":{"formattedCitation":"(Manton, Gu, &amp; Lamb, 2006)","plainTextFormattedCitation":"(Manton, Gu, &amp; Lamb, 2006)","previouslyFormattedCitation":"(Manton, Gu, &amp; Lamb, 2006)"},"properties":{"noteIndex":0},"schema":"https://github.com/citation-style-language/schema/raw/master/csl-citation.json"}</w:instrText>
      </w:r>
      <w:r w:rsidR="00D879F6" w:rsidRPr="00464420">
        <w:rPr>
          <w:rFonts w:ascii="Verdana" w:hAnsi="Verdana"/>
          <w:sz w:val="19"/>
          <w:szCs w:val="19"/>
        </w:rPr>
        <w:fldChar w:fldCharType="separate"/>
      </w:r>
      <w:r w:rsidR="00D879F6" w:rsidRPr="00464420">
        <w:rPr>
          <w:rFonts w:ascii="Verdana" w:hAnsi="Verdana"/>
          <w:noProof/>
          <w:sz w:val="19"/>
          <w:szCs w:val="19"/>
        </w:rPr>
        <w:t>(Manton, Gu, &amp; Lamb, 2006)</w:t>
      </w:r>
      <w:r w:rsidR="00D879F6" w:rsidRPr="00464420">
        <w:rPr>
          <w:rFonts w:ascii="Verdana" w:hAnsi="Verdana"/>
          <w:sz w:val="19"/>
          <w:szCs w:val="19"/>
        </w:rPr>
        <w:fldChar w:fldCharType="end"/>
      </w:r>
      <w:r w:rsidR="00D879F6" w:rsidRPr="00464420">
        <w:rPr>
          <w:rFonts w:ascii="Verdana" w:hAnsi="Verdana"/>
          <w:sz w:val="19"/>
          <w:szCs w:val="19"/>
        </w:rPr>
        <w:t xml:space="preserve">. </w:t>
      </w:r>
      <w:r w:rsidR="00222F24" w:rsidRPr="00464420">
        <w:rPr>
          <w:rFonts w:ascii="Verdana" w:hAnsi="Verdana"/>
          <w:sz w:val="19"/>
          <w:szCs w:val="19"/>
        </w:rPr>
        <w:t>H</w:t>
      </w:r>
      <w:r w:rsidR="00D879F6" w:rsidRPr="00464420">
        <w:rPr>
          <w:rFonts w:ascii="Verdana" w:hAnsi="Verdana"/>
          <w:sz w:val="19"/>
          <w:szCs w:val="19"/>
        </w:rPr>
        <w:t xml:space="preserve">ealth budget </w:t>
      </w:r>
      <w:r w:rsidR="00950ED9" w:rsidRPr="00464420">
        <w:rPr>
          <w:rFonts w:ascii="Verdana" w:hAnsi="Verdana"/>
          <w:sz w:val="19"/>
          <w:szCs w:val="19"/>
        </w:rPr>
        <w:t xml:space="preserve">should be </w:t>
      </w:r>
      <w:r w:rsidR="00D879F6" w:rsidRPr="00464420">
        <w:rPr>
          <w:rFonts w:ascii="Verdana" w:hAnsi="Verdana"/>
          <w:sz w:val="19"/>
          <w:szCs w:val="19"/>
        </w:rPr>
        <w:t>focus</w:t>
      </w:r>
      <w:r w:rsidR="00950ED9" w:rsidRPr="00464420">
        <w:rPr>
          <w:rFonts w:ascii="Verdana" w:hAnsi="Verdana"/>
          <w:sz w:val="19"/>
          <w:szCs w:val="19"/>
        </w:rPr>
        <w:t>ing</w:t>
      </w:r>
      <w:r w:rsidR="00D879F6" w:rsidRPr="00464420">
        <w:rPr>
          <w:rFonts w:ascii="Verdana" w:hAnsi="Verdana"/>
          <w:sz w:val="19"/>
          <w:szCs w:val="19"/>
        </w:rPr>
        <w:t xml:space="preserve"> on </w:t>
      </w:r>
      <w:r w:rsidR="00950ED9" w:rsidRPr="00464420">
        <w:rPr>
          <w:rFonts w:ascii="Verdana" w:hAnsi="Verdana"/>
          <w:sz w:val="19"/>
          <w:szCs w:val="19"/>
        </w:rPr>
        <w:t>ensuring that poor people can get ac</w:t>
      </w:r>
      <w:r w:rsidR="00F223E1">
        <w:rPr>
          <w:rFonts w:ascii="Verdana" w:hAnsi="Verdana"/>
          <w:sz w:val="19"/>
          <w:szCs w:val="19"/>
        </w:rPr>
        <w:t xml:space="preserve">cess to better health services </w:t>
      </w:r>
      <w:r w:rsidR="00D879F6" w:rsidRPr="00464420">
        <w:rPr>
          <w:rFonts w:ascii="Verdana" w:hAnsi="Verdana"/>
          <w:sz w:val="19"/>
          <w:szCs w:val="19"/>
        </w:rPr>
        <w:fldChar w:fldCharType="begin" w:fldLock="1"/>
      </w:r>
      <w:r w:rsidR="00D10A8A">
        <w:rPr>
          <w:rFonts w:ascii="Verdana" w:hAnsi="Verdana"/>
          <w:sz w:val="19"/>
          <w:szCs w:val="19"/>
        </w:rPr>
        <w:instrText>ADDIN CSL_CITATION {"citationItems":[{"id":"ITEM-1","itemData":{"abstract":"Health care is a basic service essential in any effort to combat poverty, and is often subsidized with public funds to help achieve that aim. This paper examines public spending on curative health care in several African countries and finds that this spending favours mostly the better-off rather than the poor. It concludes that this targeting problem cannot be solved simply by adjusting the subsidy allocations. The constraints that prevent the poor from taking advantage of these services must also be addressed if the public subsidies are to be effective in reaching the poor.","author":[{"dropping-particle":"","family":"Castro-leal","given":"F","non-dropping-particle":"","parse-names":false,"suffix":""},{"dropping-particle":"","family":"Castro-leal","given":"F","non-dropping-particle":"","parse-names":false,"suffix":""},{"dropping-particle":"","family":"Dayton","given":"J","non-dropping-particle":"","parse-names":false,"suffix":""},{"dropping-particle":"","family":"Dayton","given":"J","non-dropping-particle":"","parse-names":false,"suffix":""},{"dropping-particle":"","family":"Demery","given":"L","non-dropping-particle":"","parse-names":false,"suffix":""},{"dropping-particle":"","family":"Demery","given":"L","non-dropping-particle":"","parse-names":false,"suffix":""},{"dropping-particle":"","family":"Mehra","given":"K","non-dropping-particle":"","parse-names":false,"suffix":""},{"dropping-particle":"","family":"Mehra","given":"K","non-dropping-particle":"","parse-names":false,"suffix":""}],"container-title":"Bulletin of the World Health Organization","id":"ITEM-1","issue":"0201","issued":{"date-parts":[["2000"]]},"page":"9","title":"Public spending on health care in Africa: do the poor benefit?","type":"article-journal"},"uris":["http://www.mendeley.com/documents/?uuid=5851df15-6e6f-48e6-a604-755b1c1c2ff9","http://www.mendeley.com/documents/?uuid=04580867-7f03-4043-b2a3-e39968630ddd","http://www.mendeley.com/documents/?uuid=e7a58722-82ac-49fe-99d7-b971605640b3"]}],"mendeley":{"formattedCitation":"(Castro-leal et al., 2000)","plainTextFormattedCitation":"(Castro-leal et al., 2000)","previouslyFormattedCitation":"(Castro-leal et al., 2000)"},"properties":{"noteIndex":0},"schema":"https://github.com/citation-style-language/schema/raw/master/csl-citation.json"}</w:instrText>
      </w:r>
      <w:r w:rsidR="00D879F6" w:rsidRPr="00464420">
        <w:rPr>
          <w:rFonts w:ascii="Verdana" w:hAnsi="Verdana"/>
          <w:sz w:val="19"/>
          <w:szCs w:val="19"/>
        </w:rPr>
        <w:fldChar w:fldCharType="separate"/>
      </w:r>
      <w:r w:rsidR="00D879F6" w:rsidRPr="00464420">
        <w:rPr>
          <w:rFonts w:ascii="Verdana" w:hAnsi="Verdana"/>
          <w:noProof/>
          <w:sz w:val="19"/>
          <w:szCs w:val="19"/>
        </w:rPr>
        <w:t>(Castro-leal et al., 2000)</w:t>
      </w:r>
      <w:r w:rsidR="00D879F6" w:rsidRPr="00464420">
        <w:rPr>
          <w:rFonts w:ascii="Verdana" w:hAnsi="Verdana"/>
          <w:sz w:val="19"/>
          <w:szCs w:val="19"/>
        </w:rPr>
        <w:fldChar w:fldCharType="end"/>
      </w:r>
      <w:r w:rsidR="00D879F6" w:rsidRPr="00464420">
        <w:rPr>
          <w:rFonts w:ascii="Verdana" w:hAnsi="Verdana"/>
          <w:sz w:val="19"/>
          <w:szCs w:val="19"/>
        </w:rPr>
        <w:t xml:space="preserve">. </w:t>
      </w:r>
      <w:r w:rsidR="00D10A8A">
        <w:rPr>
          <w:rFonts w:ascii="Verdana" w:hAnsi="Verdana"/>
          <w:sz w:val="19"/>
          <w:szCs w:val="19"/>
        </w:rPr>
        <w:t xml:space="preserve">As the country with large number of population, unfortunately </w:t>
      </w:r>
      <w:proofErr w:type="spellStart"/>
      <w:r w:rsidR="00D10A8A">
        <w:rPr>
          <w:rFonts w:ascii="Verdana" w:hAnsi="Verdana"/>
          <w:sz w:val="19"/>
          <w:szCs w:val="19"/>
        </w:rPr>
        <w:t>Indonesa</w:t>
      </w:r>
      <w:proofErr w:type="spellEnd"/>
      <w:r w:rsidR="00D10A8A">
        <w:rPr>
          <w:rFonts w:ascii="Verdana" w:hAnsi="Verdana"/>
          <w:sz w:val="19"/>
          <w:szCs w:val="19"/>
        </w:rPr>
        <w:t xml:space="preserve"> health spending is relatively low</w:t>
      </w:r>
      <w:r w:rsidR="004C7B3B">
        <w:rPr>
          <w:rFonts w:ascii="Verdana" w:hAnsi="Verdana"/>
          <w:sz w:val="19"/>
          <w:szCs w:val="19"/>
        </w:rPr>
        <w:t xml:space="preserve">, showed by the </w:t>
      </w:r>
      <w:r w:rsidR="004C7B3B" w:rsidRPr="004C7B3B">
        <w:rPr>
          <w:rFonts w:ascii="Verdana" w:hAnsi="Verdana"/>
          <w:sz w:val="19"/>
          <w:szCs w:val="19"/>
        </w:rPr>
        <w:t>proportion of health spending to GDP remains below average among</w:t>
      </w:r>
      <w:r w:rsidR="004C7B3B">
        <w:rPr>
          <w:rFonts w:ascii="Verdana" w:hAnsi="Verdana"/>
          <w:sz w:val="19"/>
          <w:szCs w:val="19"/>
        </w:rPr>
        <w:t xml:space="preserve"> </w:t>
      </w:r>
      <w:r w:rsidR="004C7B3B" w:rsidRPr="004C7B3B">
        <w:rPr>
          <w:rFonts w:ascii="Verdana" w:hAnsi="Verdana"/>
          <w:sz w:val="19"/>
          <w:szCs w:val="19"/>
        </w:rPr>
        <w:t>the low-to-middle-income countries</w:t>
      </w:r>
      <w:r w:rsidR="003D20B0">
        <w:rPr>
          <w:rFonts w:ascii="Verdana" w:hAnsi="Verdana"/>
          <w:sz w:val="19"/>
          <w:szCs w:val="19"/>
        </w:rPr>
        <w:t xml:space="preserve"> about 2.8% of GDP in 2014 according to 2017 WHO </w:t>
      </w:r>
      <w:proofErr w:type="spellStart"/>
      <w:r w:rsidR="003D20B0">
        <w:rPr>
          <w:rFonts w:ascii="Verdana" w:hAnsi="Verdana"/>
          <w:sz w:val="19"/>
          <w:szCs w:val="19"/>
        </w:rPr>
        <w:t>dataase</w:t>
      </w:r>
      <w:proofErr w:type="spellEnd"/>
      <w:r w:rsidR="004C7B3B">
        <w:rPr>
          <w:rFonts w:ascii="Verdana" w:hAnsi="Verdana"/>
          <w:sz w:val="19"/>
          <w:szCs w:val="19"/>
        </w:rPr>
        <w:t xml:space="preserve"> </w:t>
      </w:r>
      <w:r w:rsidR="004C7B3B">
        <w:rPr>
          <w:rFonts w:ascii="Verdana" w:hAnsi="Verdana"/>
          <w:sz w:val="19"/>
          <w:szCs w:val="19"/>
        </w:rPr>
        <w:fldChar w:fldCharType="begin" w:fldLock="1"/>
      </w:r>
      <w:r w:rsidR="005E5F80">
        <w:rPr>
          <w:rFonts w:ascii="Verdana" w:hAnsi="Verdana"/>
          <w:sz w:val="19"/>
          <w:szCs w:val="19"/>
        </w:rPr>
        <w:instrText>ADDIN CSL_CITATION {"citationItems":[{"id":"ITEM-1","itemData":{"ISSN":"9290225165","author":[{"dropping-particle":"","family":"Mahendradhata","given":"Yodi","non-dropping-particle":"","parse-names":false,"suffix":""},{"dropping-particle":"","family":"Trisnantoro","given":"Laksono","non-dropping-particle":"","parse-names":false,"suffix":""},{"dropping-particle":"","family":"Listyadewi","given":"Shita","non-dropping-particle":"","parse-names":false,"suffix":""},{"dropping-particle":"","family":"Soewondo","given":"Prastuti","non-dropping-particle":"","parse-names":false,"suffix":""},{"dropping-particle":"","family":"Marthias","given":"Tiara","non-dropping-particle":"","parse-names":false,"suffix":""},{"dropping-particle":"","family":"Harimurti","given":"Pandu","non-dropping-particle":"","parse-names":false,"suffix":""},{"dropping-particle":"","family":"Prawira","given":"John","non-dropping-particle":"","parse-names":false,"suffix":""}],"container-title":"Health Systems in Transition","id":"ITEM-1","issue":"1","issued":{"date-parts":[["2017"]]},"publisher":"WHO Regional Office for South-East Asia","title":"The Republic of Indonesia health system review","type":"article-journal","volume":"7"},"uris":["http://www.mendeley.com/documents/?uuid=031f544a-e229-47dd-a7d8-85c6e625da33"]}],"mendeley":{"formattedCitation":"(Mahendradhata et al., 2017)","plainTextFormattedCitation":"(Mahendradhata et al., 2017)","previouslyFormattedCitation":"(Mahendradhata et al., 2017)"},"properties":{"noteIndex":0},"schema":"https://github.com/citation-style-language/schema/raw/master/csl-citation.json"}</w:instrText>
      </w:r>
      <w:r w:rsidR="004C7B3B">
        <w:rPr>
          <w:rFonts w:ascii="Verdana" w:hAnsi="Verdana"/>
          <w:sz w:val="19"/>
          <w:szCs w:val="19"/>
        </w:rPr>
        <w:fldChar w:fldCharType="separate"/>
      </w:r>
      <w:r w:rsidR="004C7B3B" w:rsidRPr="004C7B3B">
        <w:rPr>
          <w:rFonts w:ascii="Verdana" w:hAnsi="Verdana"/>
          <w:noProof/>
          <w:sz w:val="19"/>
          <w:szCs w:val="19"/>
        </w:rPr>
        <w:t>(Mahendradhata et al., 2017)</w:t>
      </w:r>
      <w:r w:rsidR="004C7B3B">
        <w:rPr>
          <w:rFonts w:ascii="Verdana" w:hAnsi="Verdana"/>
          <w:sz w:val="19"/>
          <w:szCs w:val="19"/>
        </w:rPr>
        <w:fldChar w:fldCharType="end"/>
      </w:r>
      <w:r w:rsidR="004C7B3B">
        <w:rPr>
          <w:rFonts w:ascii="Verdana" w:hAnsi="Verdana"/>
          <w:sz w:val="19"/>
          <w:szCs w:val="19"/>
        </w:rPr>
        <w:t xml:space="preserve">. </w:t>
      </w:r>
    </w:p>
    <w:p w14:paraId="5A915E9F" w14:textId="530BFBE7" w:rsidR="00E62325" w:rsidRPr="00464420" w:rsidRDefault="00D879F6" w:rsidP="009A2BEF">
      <w:pPr>
        <w:ind w:firstLine="720"/>
        <w:jc w:val="both"/>
        <w:rPr>
          <w:rFonts w:ascii="Verdana" w:hAnsi="Verdana"/>
          <w:sz w:val="19"/>
          <w:szCs w:val="19"/>
        </w:rPr>
      </w:pPr>
      <w:r w:rsidRPr="00464420">
        <w:rPr>
          <w:rFonts w:ascii="Verdana" w:hAnsi="Verdana"/>
          <w:sz w:val="19"/>
          <w:szCs w:val="19"/>
        </w:rPr>
        <w:lastRenderedPageBreak/>
        <w:t>Funds provided by the government are distributed to all provinces in Indonesia in accordance with the</w:t>
      </w:r>
      <w:r w:rsidR="00950ED9" w:rsidRPr="00464420">
        <w:rPr>
          <w:rFonts w:ascii="Verdana" w:hAnsi="Verdana"/>
          <w:sz w:val="19"/>
          <w:szCs w:val="19"/>
        </w:rPr>
        <w:t xml:space="preserve"> number of</w:t>
      </w:r>
      <w:r w:rsidRPr="00464420">
        <w:rPr>
          <w:rFonts w:ascii="Verdana" w:hAnsi="Verdana"/>
          <w:sz w:val="19"/>
          <w:szCs w:val="19"/>
        </w:rPr>
        <w:t xml:space="preserve"> population and health needs of each province. </w:t>
      </w:r>
      <w:r w:rsidR="0088446A">
        <w:rPr>
          <w:rFonts w:ascii="Verdana" w:hAnsi="Verdana"/>
          <w:sz w:val="19"/>
          <w:szCs w:val="19"/>
        </w:rPr>
        <w:t xml:space="preserve">Unfortunately, provinces do not always effectively use the fund. In 2016, </w:t>
      </w:r>
      <w:r w:rsidRPr="00464420">
        <w:rPr>
          <w:rFonts w:ascii="Verdana" w:hAnsi="Verdana"/>
          <w:sz w:val="19"/>
          <w:szCs w:val="19"/>
        </w:rPr>
        <w:t xml:space="preserve">North Sumatra with a population of 14,102,991 people received funds </w:t>
      </w:r>
      <w:r w:rsidR="0088446A">
        <w:rPr>
          <w:rFonts w:ascii="Verdana" w:hAnsi="Verdana"/>
          <w:sz w:val="19"/>
          <w:szCs w:val="19"/>
        </w:rPr>
        <w:t xml:space="preserve">of </w:t>
      </w:r>
      <w:r w:rsidRPr="00464420">
        <w:rPr>
          <w:rFonts w:ascii="Verdana" w:hAnsi="Verdana"/>
          <w:sz w:val="19"/>
          <w:szCs w:val="19"/>
        </w:rPr>
        <w:t>around Rp.98</w:t>
      </w:r>
      <w:r w:rsidR="0088446A">
        <w:rPr>
          <w:rFonts w:ascii="Verdana" w:hAnsi="Verdana"/>
          <w:sz w:val="19"/>
          <w:szCs w:val="19"/>
        </w:rPr>
        <w:t xml:space="preserve">.6 billion and </w:t>
      </w:r>
      <w:r w:rsidRPr="00464420">
        <w:rPr>
          <w:rFonts w:ascii="Verdana" w:hAnsi="Verdana"/>
          <w:sz w:val="19"/>
          <w:szCs w:val="19"/>
        </w:rPr>
        <w:t xml:space="preserve">was only used at 58.40%. </w:t>
      </w:r>
      <w:r w:rsidR="0088446A">
        <w:rPr>
          <w:rFonts w:ascii="Verdana" w:hAnsi="Verdana"/>
          <w:sz w:val="19"/>
          <w:szCs w:val="19"/>
        </w:rPr>
        <w:t>T</w:t>
      </w:r>
      <w:r w:rsidRPr="00464420">
        <w:rPr>
          <w:rFonts w:ascii="Verdana" w:hAnsi="Verdana"/>
          <w:sz w:val="19"/>
          <w:szCs w:val="19"/>
        </w:rPr>
        <w:t xml:space="preserve">he province of South Sumatra </w:t>
      </w:r>
      <w:r w:rsidR="00FB14C7">
        <w:rPr>
          <w:rFonts w:ascii="Verdana" w:hAnsi="Verdana"/>
          <w:sz w:val="19"/>
          <w:szCs w:val="19"/>
        </w:rPr>
        <w:t xml:space="preserve">with </w:t>
      </w:r>
      <w:r w:rsidR="00950ED9" w:rsidRPr="00464420">
        <w:rPr>
          <w:rFonts w:ascii="Verdana" w:hAnsi="Verdana"/>
          <w:sz w:val="19"/>
          <w:szCs w:val="19"/>
        </w:rPr>
        <w:t xml:space="preserve">8,160,901 </w:t>
      </w:r>
      <w:r w:rsidR="00FB14C7">
        <w:rPr>
          <w:rFonts w:ascii="Verdana" w:hAnsi="Verdana"/>
          <w:sz w:val="19"/>
          <w:szCs w:val="19"/>
        </w:rPr>
        <w:t>populations</w:t>
      </w:r>
      <w:r w:rsidR="00950ED9" w:rsidRPr="00464420">
        <w:rPr>
          <w:rFonts w:ascii="Verdana" w:hAnsi="Verdana"/>
          <w:sz w:val="19"/>
          <w:szCs w:val="19"/>
        </w:rPr>
        <w:t xml:space="preserve"> </w:t>
      </w:r>
      <w:r w:rsidRPr="00464420">
        <w:rPr>
          <w:rFonts w:ascii="Verdana" w:hAnsi="Verdana"/>
          <w:sz w:val="19"/>
          <w:szCs w:val="19"/>
        </w:rPr>
        <w:t xml:space="preserve">received health </w:t>
      </w:r>
      <w:r w:rsidR="00950ED9" w:rsidRPr="00464420">
        <w:rPr>
          <w:rFonts w:ascii="Verdana" w:hAnsi="Verdana"/>
          <w:sz w:val="19"/>
          <w:szCs w:val="19"/>
        </w:rPr>
        <w:t>fund</w:t>
      </w:r>
      <w:r w:rsidRPr="00464420">
        <w:rPr>
          <w:rFonts w:ascii="Verdana" w:hAnsi="Verdana"/>
          <w:sz w:val="19"/>
          <w:szCs w:val="19"/>
        </w:rPr>
        <w:t xml:space="preserve">s </w:t>
      </w:r>
      <w:r w:rsidR="0088446A">
        <w:rPr>
          <w:rFonts w:ascii="Verdana" w:hAnsi="Verdana"/>
          <w:sz w:val="19"/>
          <w:szCs w:val="19"/>
        </w:rPr>
        <w:t xml:space="preserve">of around </w:t>
      </w:r>
      <w:r w:rsidRPr="00464420">
        <w:rPr>
          <w:rFonts w:ascii="Verdana" w:hAnsi="Verdana"/>
          <w:sz w:val="19"/>
          <w:szCs w:val="19"/>
        </w:rPr>
        <w:t>Rp.64</w:t>
      </w:r>
      <w:r w:rsidR="00FB14C7">
        <w:rPr>
          <w:rFonts w:ascii="Verdana" w:hAnsi="Verdana"/>
          <w:sz w:val="19"/>
          <w:szCs w:val="19"/>
        </w:rPr>
        <w:t>.8</w:t>
      </w:r>
      <w:r w:rsidR="0088446A">
        <w:rPr>
          <w:rFonts w:ascii="Verdana" w:hAnsi="Verdana"/>
          <w:sz w:val="19"/>
          <w:szCs w:val="19"/>
        </w:rPr>
        <w:t xml:space="preserve"> billion and </w:t>
      </w:r>
      <w:r w:rsidR="00950ED9" w:rsidRPr="00464420">
        <w:rPr>
          <w:rFonts w:ascii="Verdana" w:hAnsi="Verdana"/>
          <w:sz w:val="19"/>
          <w:szCs w:val="19"/>
        </w:rPr>
        <w:t xml:space="preserve">was used at </w:t>
      </w:r>
      <w:r w:rsidRPr="00464420">
        <w:rPr>
          <w:rFonts w:ascii="Verdana" w:hAnsi="Verdana"/>
          <w:sz w:val="19"/>
          <w:szCs w:val="19"/>
        </w:rPr>
        <w:t>61.59%.</w:t>
      </w:r>
      <w:r w:rsidR="00FB14C7">
        <w:rPr>
          <w:rFonts w:ascii="Verdana" w:hAnsi="Verdana"/>
          <w:sz w:val="19"/>
          <w:szCs w:val="19"/>
        </w:rPr>
        <w:t xml:space="preserve"> While</w:t>
      </w:r>
      <w:r w:rsidRPr="00464420">
        <w:rPr>
          <w:rFonts w:ascii="Verdana" w:hAnsi="Verdana"/>
          <w:sz w:val="19"/>
          <w:szCs w:val="19"/>
        </w:rPr>
        <w:t xml:space="preserve"> West Sumatra</w:t>
      </w:r>
      <w:r w:rsidR="00DD0C18" w:rsidRPr="00464420">
        <w:rPr>
          <w:rFonts w:ascii="Verdana" w:hAnsi="Verdana"/>
          <w:sz w:val="19"/>
          <w:szCs w:val="19"/>
        </w:rPr>
        <w:t xml:space="preserve"> </w:t>
      </w:r>
      <w:r w:rsidR="00FB14C7">
        <w:rPr>
          <w:rFonts w:ascii="Verdana" w:hAnsi="Verdana"/>
          <w:sz w:val="19"/>
          <w:szCs w:val="19"/>
        </w:rPr>
        <w:t xml:space="preserve">with </w:t>
      </w:r>
      <w:r w:rsidR="00DD0C18" w:rsidRPr="00464420">
        <w:rPr>
          <w:rFonts w:ascii="Verdana" w:hAnsi="Verdana"/>
          <w:sz w:val="19"/>
          <w:szCs w:val="19"/>
        </w:rPr>
        <w:t xml:space="preserve">5,259,528 </w:t>
      </w:r>
      <w:r w:rsidR="00FB14C7">
        <w:rPr>
          <w:rFonts w:ascii="Verdana" w:hAnsi="Verdana"/>
          <w:sz w:val="19"/>
          <w:szCs w:val="19"/>
        </w:rPr>
        <w:t xml:space="preserve">populations </w:t>
      </w:r>
      <w:r w:rsidR="0088446A">
        <w:rPr>
          <w:rFonts w:ascii="Verdana" w:hAnsi="Verdana"/>
          <w:sz w:val="19"/>
          <w:szCs w:val="19"/>
        </w:rPr>
        <w:t xml:space="preserve">received </w:t>
      </w:r>
      <w:r w:rsidRPr="00464420">
        <w:rPr>
          <w:rFonts w:ascii="Verdana" w:hAnsi="Verdana"/>
          <w:sz w:val="19"/>
          <w:szCs w:val="19"/>
        </w:rPr>
        <w:t xml:space="preserve"> </w:t>
      </w:r>
      <w:r w:rsidR="00FB14C7">
        <w:rPr>
          <w:rFonts w:ascii="Verdana" w:hAnsi="Verdana"/>
          <w:sz w:val="19"/>
          <w:szCs w:val="19"/>
        </w:rPr>
        <w:t>approximately Rp.59.</w:t>
      </w:r>
      <w:r w:rsidR="0088446A">
        <w:rPr>
          <w:rFonts w:ascii="Verdana" w:hAnsi="Verdana"/>
          <w:sz w:val="19"/>
          <w:szCs w:val="19"/>
        </w:rPr>
        <w:t>4 billion was used</w:t>
      </w:r>
      <w:r w:rsidRPr="00464420">
        <w:rPr>
          <w:rFonts w:ascii="Verdana" w:hAnsi="Verdana"/>
          <w:sz w:val="19"/>
          <w:szCs w:val="19"/>
        </w:rPr>
        <w:t xml:space="preserve"> 53.84% </w:t>
      </w:r>
      <w:r w:rsidRPr="00464420">
        <w:rPr>
          <w:rFonts w:ascii="Verdana" w:hAnsi="Verdana"/>
          <w:sz w:val="19"/>
          <w:szCs w:val="19"/>
        </w:rPr>
        <w:fldChar w:fldCharType="begin" w:fldLock="1"/>
      </w:r>
      <w:r w:rsidR="002E23CC">
        <w:rPr>
          <w:rFonts w:ascii="Verdana" w:hAnsi="Verdana"/>
          <w:sz w:val="19"/>
          <w:szCs w:val="19"/>
        </w:rPr>
        <w:instrText>ADDIN CSL_CITATION {"citationItems":[{"id":"ITEM-1","itemData":{"author":[{"dropping-particle":"","family":"Ministry of Health","given":"","non-dropping-particle":"","parse-names":false,"suffix":""}],"id":"ITEM-1","issued":{"date-parts":[["2017"]]},"publisher-place":"Jakarta","title":"Data dan Informasi Profil Kesehatan Indonesia","type":"report"},"uris":["http://www.mendeley.com/documents/?uuid=a4d99136-9b07-4dc6-a356-d240d86ae4b9","http://www.mendeley.com/documents/?uuid=8cace6ce-d77e-4976-8ccd-5f633c19c93f","http://www.mendeley.com/documents/?uuid=d68586b0-85d0-4aac-85ef-78ffdc15158f"]}],"mendeley":{"formattedCitation":"(Ministry of Health, 2017)","plainTextFormattedCitation":"(Ministry of Health, 2017)","previouslyFormattedCitation":"(Ministry of Health, 2017)"},"properties":{"noteIndex":0},"schema":"https://github.com/citation-style-language/schema/raw/master/csl-citation.json"}</w:instrText>
      </w:r>
      <w:r w:rsidRPr="00464420">
        <w:rPr>
          <w:rFonts w:ascii="Verdana" w:hAnsi="Verdana"/>
          <w:sz w:val="19"/>
          <w:szCs w:val="19"/>
        </w:rPr>
        <w:fldChar w:fldCharType="separate"/>
      </w:r>
      <w:r w:rsidR="005E5F80" w:rsidRPr="005E5F80">
        <w:rPr>
          <w:rFonts w:ascii="Verdana" w:hAnsi="Verdana"/>
          <w:noProof/>
          <w:sz w:val="19"/>
          <w:szCs w:val="19"/>
        </w:rPr>
        <w:t>(Ministry of Health, 2017)</w:t>
      </w:r>
      <w:r w:rsidRPr="00464420">
        <w:rPr>
          <w:rFonts w:ascii="Verdana" w:hAnsi="Verdana"/>
          <w:sz w:val="19"/>
          <w:szCs w:val="19"/>
        </w:rPr>
        <w:fldChar w:fldCharType="end"/>
      </w:r>
      <w:r w:rsidRPr="00464420">
        <w:rPr>
          <w:rFonts w:ascii="Verdana" w:hAnsi="Verdana"/>
          <w:sz w:val="19"/>
          <w:szCs w:val="19"/>
        </w:rPr>
        <w:t>.</w:t>
      </w:r>
      <w:r w:rsidR="00E271CF" w:rsidRPr="00464420">
        <w:rPr>
          <w:rFonts w:ascii="Verdana" w:hAnsi="Verdana"/>
          <w:sz w:val="19"/>
          <w:szCs w:val="19"/>
        </w:rPr>
        <w:t xml:space="preserve"> </w:t>
      </w:r>
      <w:r w:rsidR="00E62325" w:rsidRPr="00E62325">
        <w:rPr>
          <w:rFonts w:ascii="Verdana" w:hAnsi="Verdana"/>
          <w:sz w:val="19"/>
          <w:szCs w:val="19"/>
        </w:rPr>
        <w:t xml:space="preserve">Districts in Sumatra Island still have inequality of health spending. In 2016, the highest expenditure was in </w:t>
      </w:r>
      <w:proofErr w:type="spellStart"/>
      <w:r w:rsidR="00E62325" w:rsidRPr="00E62325">
        <w:rPr>
          <w:rFonts w:ascii="Verdana" w:hAnsi="Verdana"/>
          <w:sz w:val="19"/>
          <w:szCs w:val="19"/>
        </w:rPr>
        <w:t>Batang</w:t>
      </w:r>
      <w:proofErr w:type="spellEnd"/>
      <w:r w:rsidR="00E62325" w:rsidRPr="00E62325">
        <w:rPr>
          <w:rFonts w:ascii="Verdana" w:hAnsi="Verdana"/>
          <w:sz w:val="19"/>
          <w:szCs w:val="19"/>
        </w:rPr>
        <w:t xml:space="preserve"> </w:t>
      </w:r>
      <w:proofErr w:type="spellStart"/>
      <w:r w:rsidR="00E62325" w:rsidRPr="00E62325">
        <w:rPr>
          <w:rFonts w:ascii="Verdana" w:hAnsi="Verdana"/>
          <w:sz w:val="19"/>
          <w:szCs w:val="19"/>
        </w:rPr>
        <w:t>Hari</w:t>
      </w:r>
      <w:proofErr w:type="spellEnd"/>
      <w:r w:rsidR="00E62325" w:rsidRPr="00E62325">
        <w:rPr>
          <w:rFonts w:ascii="Verdana" w:hAnsi="Verdana"/>
          <w:sz w:val="19"/>
          <w:szCs w:val="19"/>
        </w:rPr>
        <w:t xml:space="preserve"> District at 368 Billion Rupiah and the lowest was in Southeast Aceh District at 4.4 Billion Rupiah with an average health expenditure of 117.6 Billion Rupiah (Ministry of Finance, 2016).</w:t>
      </w:r>
    </w:p>
    <w:p w14:paraId="0329BBC0" w14:textId="612BB265" w:rsidR="009A1597" w:rsidRPr="00464420" w:rsidRDefault="00A006F9" w:rsidP="009A1597">
      <w:pPr>
        <w:spacing w:beforeLines="80" w:before="192" w:after="0"/>
        <w:ind w:firstLine="720"/>
        <w:jc w:val="both"/>
        <w:rPr>
          <w:rFonts w:ascii="Verdana" w:hAnsi="Verdana"/>
          <w:sz w:val="19"/>
          <w:szCs w:val="19"/>
        </w:rPr>
      </w:pPr>
      <w:r w:rsidRPr="00464420">
        <w:rPr>
          <w:rFonts w:ascii="Verdana" w:hAnsi="Verdana" w:cs="Arial"/>
          <w:sz w:val="19"/>
          <w:szCs w:val="19"/>
        </w:rPr>
        <w:t xml:space="preserve">Dengue fever or dengue </w:t>
      </w:r>
      <w:r w:rsidR="004650F4">
        <w:rPr>
          <w:rFonts w:ascii="Verdana" w:hAnsi="Verdana" w:cs="Arial"/>
          <w:sz w:val="19"/>
          <w:szCs w:val="19"/>
        </w:rPr>
        <w:t>is an old disease</w:t>
      </w:r>
      <w:r w:rsidR="006114AA" w:rsidRPr="00464420">
        <w:rPr>
          <w:rFonts w:ascii="Verdana" w:hAnsi="Verdana" w:cs="Arial"/>
          <w:sz w:val="19"/>
          <w:szCs w:val="19"/>
        </w:rPr>
        <w:t xml:space="preserve">, first recorded in a Chinese encyclopedia published in the Chin Dynasty (265 to 420 AD). However, the Chinese called the disease water poison and related it to flying insects associated with water </w:t>
      </w:r>
      <w:r w:rsidR="006114AA"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{"citationItems":[{"id":"ITEM-1","itemData":{"DOI":"10.3201/eid0102.952004","ISSN":"10806040","PMID":"8903160","author":[{"dropping-particle":"","family":"Gubler","given":"D. J.","non-dropping-particle":"","parse-names":false,"suffix":""},{"dropping-particle":"","family":"Clark","given":"G. G.","non-dropping-particle":"","parse-names":false,"suffix":""}],"container-title":"Emerging infectious diseases","id":"ITEM-1","issue":"2","issued":{"date-parts":[["1995"]]},"page":"55-57","title":"Dengue/dengue hemorrhagic fever: the emergence of a global health problem.","type":"article-journal","volume":"1"},"uris":["http://www.mendeley.com/documents/?uuid=10d5540e-1a20-4e8f-baff-9803933b691b","http://www.mendeley.com/documents/?uuid=f99b3e48-eec8-49c3-945f-1669ae679615","http://www.mendeley.com/documents/?uuid=a94a48f4-f96b-45d5-8589-02cd5d56752c","http://www.mendeley.com/documents/?uuid=cc7c2d7c-4dbf-4cdf-9b59-70aea77c18d3"]}],"mendeley":{"formattedCitation":"(Gubler &amp; Clark, 1995)","plainTextFormattedCitation":"(Gubler &amp; Clark, 1995)","previouslyFormattedCitation":"(Gubler &amp; Clark, 1995)"},"properties":{"noteIndex":0},"schema":"https://github.com/citation-style-language/schema/raw/master/csl-citation.json"}</w:instrText>
      </w:r>
      <w:r w:rsidR="006114AA" w:rsidRPr="00464420">
        <w:rPr>
          <w:rFonts w:ascii="Verdana" w:hAnsi="Verdana" w:cs="Arial"/>
          <w:sz w:val="19"/>
          <w:szCs w:val="19"/>
        </w:rPr>
        <w:fldChar w:fldCharType="separate"/>
      </w:r>
      <w:r w:rsidR="00F167F2" w:rsidRPr="00464420">
        <w:rPr>
          <w:rFonts w:ascii="Verdana" w:hAnsi="Verdana" w:cs="Arial"/>
          <w:noProof/>
          <w:sz w:val="19"/>
          <w:szCs w:val="19"/>
        </w:rPr>
        <w:t>(Gubler &amp; Clark, 1995)</w:t>
      </w:r>
      <w:r w:rsidR="006114AA" w:rsidRPr="00464420">
        <w:rPr>
          <w:rFonts w:ascii="Verdana" w:hAnsi="Verdana" w:cs="Arial"/>
          <w:sz w:val="19"/>
          <w:szCs w:val="19"/>
        </w:rPr>
        <w:fldChar w:fldCharType="end"/>
      </w:r>
      <w:r w:rsidR="006114AA" w:rsidRPr="00464420">
        <w:rPr>
          <w:rFonts w:ascii="Verdana" w:hAnsi="Verdana" w:cs="Arial"/>
          <w:sz w:val="19"/>
          <w:szCs w:val="19"/>
        </w:rPr>
        <w:t xml:space="preserve">. A dengue-like epidemic has also been recorded in Batavia (now Jakarta) as early as 1779, but it was not confirmed to be dengue fever </w:t>
      </w:r>
      <w:r w:rsidR="006114AA"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{"citationItems":[{"id":"ITEM-1","itemData":{"author":[{"dropping-particle":"","family":"Carey Donald. E.","given":"","non-dropping-particle":"","parse-names":false,"suffix":""}],"container-title":"Journal of the History of Medicine and Allied Sciences","id":"ITEM-1","issue":"3","issued":{"date-parts":[["1971"]]},"page":"243 – 262","title":"Chikungunya and dengue: a case of mistaken identity?","type":"article-journal","volume":"26"},"uris":["http://www.mendeley.com/documents/?uuid=11ee9876-1f6d-4c4d-8cb0-14bd49251a7e","http://www.mendeley.com/documents/?uuid=74698d58-d28b-4fb3-9056-5eca2a3448a9","http://www.mendeley.com/documents/?uuid=531cd334-9aba-4795-a481-59d1dfc9ad5c","http://www.mendeley.com/documents/?uuid=5099b0cf-aa87-4fec-8662-0ef31507e752"]}],"mendeley":{"formattedCitation":"(Carey Donald. E., 1971)","plainTextFormattedCitation":"(Carey Donald. E., 1971)","previouslyFormattedCitation":"(Carey Donald. E., 1971)"},"properties":{"noteIndex":0},"schema":"https://github.com/citation-style-language/schema/raw/master/csl-citation.json"}</w:instrText>
      </w:r>
      <w:r w:rsidR="006114AA" w:rsidRPr="00464420">
        <w:rPr>
          <w:rFonts w:ascii="Verdana" w:hAnsi="Verdana" w:cs="Arial"/>
          <w:sz w:val="19"/>
          <w:szCs w:val="19"/>
        </w:rPr>
        <w:fldChar w:fldCharType="separate"/>
      </w:r>
      <w:r w:rsidR="00F167F2" w:rsidRPr="00464420">
        <w:rPr>
          <w:rFonts w:ascii="Verdana" w:hAnsi="Verdana" w:cs="Arial"/>
          <w:noProof/>
          <w:sz w:val="19"/>
          <w:szCs w:val="19"/>
        </w:rPr>
        <w:t xml:space="preserve">(Carey Donald. </w:t>
      </w:r>
      <w:proofErr w:type="gramStart"/>
      <w:r w:rsidR="00F167F2" w:rsidRPr="00464420">
        <w:rPr>
          <w:rFonts w:ascii="Verdana" w:hAnsi="Verdana" w:cs="Arial"/>
          <w:noProof/>
          <w:sz w:val="19"/>
          <w:szCs w:val="19"/>
        </w:rPr>
        <w:t>E., 1971)</w:t>
      </w:r>
      <w:r w:rsidR="006114AA" w:rsidRPr="00464420">
        <w:rPr>
          <w:rFonts w:ascii="Verdana" w:hAnsi="Verdana" w:cs="Arial"/>
          <w:sz w:val="19"/>
          <w:szCs w:val="19"/>
        </w:rPr>
        <w:fldChar w:fldCharType="end"/>
      </w:r>
      <w:r w:rsidR="006114AA" w:rsidRPr="00464420">
        <w:rPr>
          <w:rFonts w:ascii="Verdana" w:hAnsi="Verdana" w:cs="Arial"/>
          <w:sz w:val="19"/>
          <w:szCs w:val="19"/>
        </w:rPr>
        <w:t>.</w:t>
      </w:r>
      <w:proofErr w:type="gramEnd"/>
      <w:r w:rsidR="006114AA" w:rsidRPr="00464420">
        <w:rPr>
          <w:rFonts w:ascii="Verdana" w:hAnsi="Verdana" w:cs="Arial"/>
          <w:sz w:val="19"/>
          <w:szCs w:val="19"/>
        </w:rPr>
        <w:t xml:space="preserve"> The disease has four distinctive virus serotypes (DEN-1, DEN-2, DEN-3, and DEN-4). Infection from one of these four serotypes does not give the person </w:t>
      </w:r>
      <w:r w:rsidR="00470824" w:rsidRPr="00464420">
        <w:rPr>
          <w:rFonts w:ascii="Verdana" w:hAnsi="Verdana" w:cs="Arial"/>
          <w:sz w:val="19"/>
          <w:szCs w:val="19"/>
        </w:rPr>
        <w:t>immunity</w:t>
      </w:r>
      <w:r w:rsidR="006114AA" w:rsidRPr="00464420">
        <w:rPr>
          <w:rFonts w:ascii="Verdana" w:hAnsi="Verdana" w:cs="Arial"/>
          <w:sz w:val="19"/>
          <w:szCs w:val="19"/>
        </w:rPr>
        <w:t xml:space="preserve"> to the other three, so it is possible for a person to have four dengue infections in their lifetime. Typically occurring in the tropics, this disease can produce various clinical illnesses that is heavily dependent on the strain and the serotype of the virus, the age, immune status, and genetic predisposition of the infected </w:t>
      </w:r>
      <w:r w:rsidR="006114AA"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{"citationItems":[{"id":"ITEM-1","itemData":{"DOI":"10.3201/eid0102.952004","ISSN":"10806040","PMID":"8903160","author":[{"dropping-particle":"","family":"Gubler","given":"D. J.","non-dropping-particle":"","parse-names":false,"suffix":""},{"dropping-particle":"","family":"Clark","given":"G. G.","non-dropping-particle":"","parse-names":false,"suffix":""}],"container-title":"Emerging infectious diseases","id":"ITEM-1","issue":"2","issued":{"date-parts":[["1995"]]},"page":"55-57","title":"Dengue/dengue hemorrhagic fever: the emergence of a global health problem.","type":"article-journal","volume":"1"},"uris":["http://www.mendeley.com/documents/?uuid=cc7c2d7c-4dbf-4cdf-9b59-70aea77c18d3","http://www.mendeley.com/documents/?uuid=a94a48f4-f96b-45d5-8589-02cd5d56752c","http://www.mendeley.com/documents/?uuid=f99b3e48-eec8-49c3-945f-1669ae679615","http://www.mendeley.com/documents/?uuid=10d5540e-1a20-4e8f-baff-9803933b691b"]}],"mendeley":{"formattedCitation":"(Gubler &amp; Clark, 1995)","plainTextFormattedCitation":"(Gubler &amp; Clark, 1995)","previouslyFormattedCitation":"(Gubler &amp; Clark, 1995)"},"properties":{"noteIndex":0},"schema":"https://github.com/citation-style-language/schema/raw/master/csl-citation.json"}</w:instrText>
      </w:r>
      <w:r w:rsidR="006114AA" w:rsidRPr="00464420">
        <w:rPr>
          <w:rFonts w:ascii="Verdana" w:hAnsi="Verdana" w:cs="Arial"/>
          <w:sz w:val="19"/>
          <w:szCs w:val="19"/>
        </w:rPr>
        <w:fldChar w:fldCharType="separate"/>
      </w:r>
      <w:r w:rsidR="00F167F2" w:rsidRPr="00464420">
        <w:rPr>
          <w:rFonts w:ascii="Verdana" w:hAnsi="Verdana" w:cs="Arial"/>
          <w:noProof/>
          <w:sz w:val="19"/>
          <w:szCs w:val="19"/>
        </w:rPr>
        <w:t>(Gubler &amp; Clark, 1995)</w:t>
      </w:r>
      <w:r w:rsidR="006114AA" w:rsidRPr="00464420">
        <w:rPr>
          <w:rFonts w:ascii="Verdana" w:hAnsi="Verdana" w:cs="Arial"/>
          <w:sz w:val="19"/>
          <w:szCs w:val="19"/>
        </w:rPr>
        <w:fldChar w:fldCharType="end"/>
      </w:r>
      <w:r w:rsidR="006114AA" w:rsidRPr="00464420">
        <w:rPr>
          <w:rFonts w:ascii="Verdana" w:hAnsi="Verdana" w:cs="Arial"/>
          <w:sz w:val="19"/>
          <w:szCs w:val="19"/>
        </w:rPr>
        <w:t>.</w:t>
      </w:r>
      <w:r w:rsidR="009A1597" w:rsidRPr="00464420">
        <w:rPr>
          <w:rFonts w:ascii="Verdana" w:hAnsi="Verdana" w:cs="Arial"/>
          <w:sz w:val="19"/>
          <w:szCs w:val="19"/>
        </w:rPr>
        <w:t xml:space="preserve"> </w:t>
      </w:r>
      <w:r w:rsidR="009A1597" w:rsidRPr="00464420">
        <w:rPr>
          <w:rFonts w:ascii="Verdana" w:hAnsi="Verdana"/>
          <w:sz w:val="19"/>
          <w:szCs w:val="19"/>
        </w:rPr>
        <w:t xml:space="preserve">Dengue fever is a contagious disease and can cause death in a short time. Ministry of Health in 2010 reported that dengue fever sufferers will develop along with population growth and mobility and population density </w:t>
      </w:r>
      <w:r w:rsidR="009A1597" w:rsidRPr="00464420">
        <w:rPr>
          <w:rFonts w:ascii="Verdana" w:hAnsi="Verdana"/>
          <w:sz w:val="19"/>
          <w:szCs w:val="19"/>
        </w:rPr>
        <w:fldChar w:fldCharType="begin" w:fldLock="1"/>
      </w:r>
      <w:r w:rsidR="00D10A8A">
        <w:rPr>
          <w:rFonts w:ascii="Verdana" w:hAnsi="Verdana"/>
          <w:sz w:val="19"/>
          <w:szCs w:val="19"/>
        </w:rPr>
        <w:instrText>ADDIN CSL_CITATION {"citationItems":[{"id":"ITEM-1","itemData":{"abstract":"EPIDEMIOLOGI DAN PEMBERANTASAN DEMAM BERDARAH DENGUE DIINDONESIA I. PENDAHULUAN. Penyakit Demam Berdarah Dengue merupakan salah satu penyakit menular yang berbahaya dapat menimbulkan kematian dalam waktu singkat dan sering menimbulkan wabah. Penyakit ini pertama kali ditemukan di Filipina pada tahun 1953 dan selanjutnya menyebar ke berbagai negara. Di Indonesia penyakit ini pertama kali dilaporkan pada tahun 1968 di Surabaya dengan jumlah penderita 58 orang dengan kematian 24 orang (41,3%). Selanjutnya sejak saat itu penyakit Demam Berdarah Dengue cenderung menyebar ke seluruh tanah air Indonesia dan mencapai puncaknya pada tahun 1988 dengan insidens rate mencapai 13,45 % per 100.000 penduduk. Keadaan ini erat kaitannya dengan meningkatnya mobilitas penduduk dan sejalan dengan semakin lancarnya hubungan transpotasi. Seluruh wilayah Indonesia mempunyai resiko untuk terjangkit penyakit Demam Berdarah Dengue karena virus penyebab clan nyamuk penularnya tersebar luas baik di rumah maupun tempat-tempat umum, kecuali yang ketinggiannya lebih dari 1000 meter diatas permukaan laut. Pada saat ini seluruh propinsi di Indonesia sudah terjangkit penyakit ini baik di kota maupun desa terutama yang padat penduduknya dan arus transportasinya lancar. Menurut laporan Ditjen PPM clan PLP penyakit ini telah tersebar di 27 propinsi di Indonesia. Dari 300 kabupaten di 27 propinsi pada tahun 1989 (awal Pelita V) tercatat angka kejadian sebesar 6,9 % dan pada akhir Pelita V meningkat menjadi 9,2 %. Pada kurun waktu yang sama angka kematian tercatat sebesar 4,5 %. Sebagaimana diketahui bahwa sampai saat ini obat untuk membasmi virus dan vaksin untuk mencegah penyakit Demam Berdarah Dengue belum tersedia. Cara yang tepat guna untuk menanggulangi penyakit ini secara tuntas adalah memberantas vektor/nyamuk penular. Vektor Demam Berdarah Dengue mempunyai tempat perkembangbiakan yakni di lingkungan tempat tinggal manusia terutama di dalam stan diluar rumah. Nyamuk Aedes aegypti berkembangbiak di tempat penampungan air seperti bak mandi, drum, tempayan dan barang-barang yang memungkinkan air tergenang seperti kaleng bekas, tempurung kelapa , dan lain-lain yang dibuang sembarangan. Pemberantasan vektor Demam Berdarah Dengue dilaksanakan dengan memberantas sarang nyamuk untuk membasmi jentik nyamuk Aedes aegypti. Mengingat nyamuk Aedes aegypti tersebar luas diseluruh tanah air baik dirumah maupun tempat-tempat umum, maka untuk memberantasnya diperlukan peran serta seluruh masyarakat. …","author":[{"dropping-particle":"","family":"Siregar","given":"Faziah A","non-dropping-particle":"","parse-names":false,"suffix":""}],"container-title":"USU Digital Library","id":"ITEM-1","issued":{"date-parts":[["2004"]]},"page":"1-13","title":"Epidemiologi Dan Pemberantasan Demam Berdarah Dengue Diindonesia Di Indonesia","type":"article-journal"},"uris":["http://www.mendeley.com/documents/?uuid=82989490-4529-4fdf-bd9f-81aed53a8106","http://www.mendeley.com/documents/?uuid=b3badb18-47d1-4d65-b265-931314112a3a","http://www.mendeley.com/documents/?uuid=d7973e1b-7e26-4455-b4aa-e341546dcbe6"]}],"mendeley":{"formattedCitation":"(Siregar, 2004)","plainTextFormattedCitation":"(Siregar, 2004)","previouslyFormattedCitation":"(Siregar, 2004)"},"properties":{"noteIndex":0},"schema":"https://github.com/citation-style-language/schema/raw/master/csl-citation.json"}</w:instrText>
      </w:r>
      <w:r w:rsidR="009A1597" w:rsidRPr="00464420">
        <w:rPr>
          <w:rFonts w:ascii="Verdana" w:hAnsi="Verdana"/>
          <w:sz w:val="19"/>
          <w:szCs w:val="19"/>
        </w:rPr>
        <w:fldChar w:fldCharType="separate"/>
      </w:r>
      <w:r w:rsidR="00F167F2" w:rsidRPr="00464420">
        <w:rPr>
          <w:rFonts w:ascii="Verdana" w:hAnsi="Verdana"/>
          <w:noProof/>
          <w:sz w:val="19"/>
          <w:szCs w:val="19"/>
        </w:rPr>
        <w:t>(Siregar, 2004)</w:t>
      </w:r>
      <w:r w:rsidR="009A1597" w:rsidRPr="00464420">
        <w:rPr>
          <w:rFonts w:ascii="Verdana" w:hAnsi="Verdana"/>
          <w:sz w:val="19"/>
          <w:szCs w:val="19"/>
        </w:rPr>
        <w:fldChar w:fldCharType="end"/>
      </w:r>
      <w:r w:rsidR="009A1597" w:rsidRPr="00464420">
        <w:rPr>
          <w:rFonts w:ascii="Verdana" w:hAnsi="Verdana"/>
          <w:sz w:val="19"/>
          <w:szCs w:val="19"/>
        </w:rPr>
        <w:t>.</w:t>
      </w:r>
    </w:p>
    <w:p w14:paraId="731462E7" w14:textId="2F6E7D06" w:rsidR="006114AA" w:rsidRDefault="006114AA" w:rsidP="006114AA">
      <w:pPr>
        <w:pStyle w:val="ListParagraph"/>
        <w:spacing w:before="80" w:after="0" w:line="240" w:lineRule="auto"/>
        <w:ind w:left="0" w:firstLine="835"/>
        <w:jc w:val="both"/>
        <w:rPr>
          <w:rFonts w:ascii="Verdana" w:hAnsi="Verdana"/>
          <w:sz w:val="19"/>
          <w:szCs w:val="19"/>
        </w:rPr>
      </w:pPr>
      <w:r w:rsidRPr="00464420">
        <w:rPr>
          <w:rFonts w:ascii="Verdana" w:hAnsi="Verdana" w:cs="Arial"/>
          <w:sz w:val="19"/>
          <w:szCs w:val="19"/>
        </w:rPr>
        <w:t xml:space="preserve">Much like dengue fever, diarrhea has been around since medieval times. To pinpoint where it first started is impossible, but epidemics as early as the Plague of Athens, occurring in 430 BC, was characterized by diarrhea. Since then, diarrhea has been a disease that greatly impacts nations and war as late as the 1991 </w:t>
      </w:r>
      <w:r w:rsidRPr="00464420">
        <w:rPr>
          <w:rFonts w:ascii="Verdana" w:hAnsi="Verdana" w:cs="Arial"/>
          <w:sz w:val="19"/>
          <w:szCs w:val="19"/>
        </w:rPr>
        <w:lastRenderedPageBreak/>
        <w:t xml:space="preserve">Gulf War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{"citationItems":[{"id":"ITEM-1","itemData":{"DOI":"10.1016/j.idc.2004.01.006","ISSN":"08915520","abstract":"Infectious diarrhea has afflicted mankind since before the first civilizations. Fortunately, modern societies have largely controlled infectious diarrhea as a public health menace, although occasional outbreaks (usually caused by some breakdown in sanitary practice) continue to occur. It is doubtful that dysentery, cholera, or typhoid will ever again influence the course of human events to the degree seen in prior centuries, when an outbreak of dysentery might result in the subjugation of a nation. Unfortunately, diarrhea continues to plague the developing world. According to the World Health Organization, nearly 2 million children die each year because of diarrheal illness. It is now clear that relatively simple remedies (eg, oral rehydration solutions) and relatively unsophisticated public hygiene measures can in large part prevent or ameliorate such outbreaks that do occur. It is also clear that the struggle against diarrhea was won largely through the efforts of individuals willing to defy established beliefs and public inertia, to the immense benefit of uncounted millions around the world.","author":[{"dropping-particle":"","family":"Lim","given":"Matthew L.","non-dropping-particle":"","parse-names":false,"suffix":""},{"dropping-particle":"","family":"Wallace","given":"Mark R.","non-dropping-particle":"","parse-names":false,"suffix":""}],"container-title":"Infectious Disease Clinics of North America","id":"ITEM-1","issue":"2","issued":{"date-parts":[["2004"]]},"page":"261-274","title":"Infectious diarrhea in history","type":"article-journal","volume":"18"},"uris":["http://www.mendeley.com/documents/?uuid=39cf2352-4335-471d-86f6-4071efafd672","http://www.mendeley.com/documents/?uuid=0ae31d2d-e87e-43ac-ad07-819ff5b7d2b7","http://www.mendeley.com/documents/?uuid=778f6019-0bdd-4cf0-a1d3-65fa77fcb83b","http://www.mendeley.com/documents/?uuid=376d8236-c40f-4a01-bff3-654242a530ed"]}],"mendeley":{"formattedCitation":"(Lim &amp; Wallace, 2004)","plainTextFormattedCitation":"(Lim &amp; Wallace, 2004)","previouslyFormattedCitation":"(Lim &amp; Wallace, 2004)"},"properties":{"noteIndex":0},"schema":"https://github.com/citation-style-language/schema/raw/master/csl-citation.json"}</w:instrText>
      </w:r>
      <w:r w:rsidRPr="00464420">
        <w:rPr>
          <w:rFonts w:ascii="Verdana" w:hAnsi="Verdana" w:cs="Arial"/>
          <w:sz w:val="19"/>
          <w:szCs w:val="19"/>
        </w:rPr>
        <w:fldChar w:fldCharType="separate"/>
      </w:r>
      <w:r w:rsidR="00F167F2" w:rsidRPr="00464420">
        <w:rPr>
          <w:rFonts w:ascii="Verdana" w:hAnsi="Verdana" w:cs="Arial"/>
          <w:noProof/>
          <w:sz w:val="19"/>
          <w:szCs w:val="19"/>
        </w:rPr>
        <w:t>(Lim &amp; Wallace, 2004)</w:t>
      </w:r>
      <w:r w:rsidRPr="00464420">
        <w:rPr>
          <w:rFonts w:ascii="Verdana" w:hAnsi="Verdana" w:cs="Arial"/>
          <w:sz w:val="19"/>
          <w:szCs w:val="19"/>
        </w:rPr>
        <w:fldChar w:fldCharType="end"/>
      </w:r>
      <w:r w:rsidRPr="00464420">
        <w:rPr>
          <w:rFonts w:ascii="Verdana" w:hAnsi="Verdana" w:cs="Arial"/>
          <w:sz w:val="19"/>
          <w:szCs w:val="19"/>
        </w:rPr>
        <w:t xml:space="preserve">. Even now, diarrhea still accounts for more than 2 million deaths every year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{"citationItems":[{"id":"ITEM-1","itemData":{"DOI":"10.1017/CBO9780511547454.016","ISBN":"9780511547454","abstract":"INTRODUCTION: Acute diarrhea, defined as the presence of three or more loose stools per day for less than 2 weeks, is usually self-limited and infectious in etiology. In contrast, chronic diarrhea has a duration of more than 3–4 weeks, is less likely to resolve spontaneously, and is more likely to be mechanical in origin. In general, the pathophysiology of diarrhea is osmotic, secretory, inflammatory, or mechanical. Osmotic diarrhea is the result of poorly absorbed molecules, such as lactulose, that draw water into the intestinal lumen. Inflammatory diarrhea occurs when inflammation of the bowel mucosa causes decreased fluid resorption. Secretory diarrhea occurs when there is an increased amount of fluid secreted into the bowel lumen, usually secondary to the effects of bacterial enterotoxin or other secretagogues on the mucosa. Mechanical diarrhea occurs with increased gut motility and is often seen in irritable bowel disease or following surgery. Acute infectious diarrhea is generally inflammatory, secretory, or a combination of both. EPIDEMIOLOGY: Infectious diarrhea is among the leading causes of adult mortality worldwide and is the single leading cause of childhood mortality, resulting in the deaths of 1.6 to 2.5 million children every year. In the United States, as many as 375 million episodes of diarrheal illness are estimated to occur annually. Diarrheal illness is responsible for approximately 5% of U.S. emergency department (ED) visits, as well as 900,000 hospitalizations and 6000 deaths each year.","author":[{"dropping-particle":"","family":"Thielman","given":"Nathan M.","non-dropping-particle":"","parse-names":false,"suffix":""},{"dropping-particle":"","family":"Guerrant","given":"Richard L.","non-dropping-particle":"","parse-names":false,"suffix":""}],"container-title":"The New England Journal of Medicine","id":"ITEM-1","issued":{"date-parts":[["2004"]]},"page":"38-47","title":"Acute infectious diarrhea","type":"article-journal","volume":"350"},"uris":["http://www.mendeley.com/documents/?uuid=34a02f23-90e5-4fa4-b813-fc0e107b0d72","http://www.mendeley.com/documents/?uuid=fc97cb4a-59c2-4fce-b3a8-46769e0a0238","http://www.mendeley.com/documents/?uuid=fddf1b2e-7452-41ab-b07f-d8620ab8243b","http://www.mendeley.com/documents/?uuid=baa11361-65ec-4bf6-9e3b-5f8c296561f3"]}],"mendeley":{"formattedCitation":"(Thielman &amp; Guerrant, 2004)","plainTextFormattedCitation":"(Thielman &amp; Guerrant, 2004)","previouslyFormattedCitation":"(Thielman &amp; Guerrant, 2004)"},"properties":{"noteIndex":0},"schema":"https://github.com/citation-style-language/schema/raw/master/csl-citation.json"}</w:instrText>
      </w:r>
      <w:r w:rsidRPr="00464420">
        <w:rPr>
          <w:rFonts w:ascii="Verdana" w:hAnsi="Verdana" w:cs="Arial"/>
          <w:sz w:val="19"/>
          <w:szCs w:val="19"/>
        </w:rPr>
        <w:fldChar w:fldCharType="separate"/>
      </w:r>
      <w:r w:rsidR="00F167F2" w:rsidRPr="00464420">
        <w:rPr>
          <w:rFonts w:ascii="Verdana" w:hAnsi="Verdana" w:cs="Arial"/>
          <w:noProof/>
          <w:sz w:val="19"/>
          <w:szCs w:val="19"/>
        </w:rPr>
        <w:t>(Thielman &amp; Guerrant, 2004)</w:t>
      </w:r>
      <w:r w:rsidRPr="00464420">
        <w:rPr>
          <w:rFonts w:ascii="Verdana" w:hAnsi="Verdana" w:cs="Arial"/>
          <w:sz w:val="19"/>
          <w:szCs w:val="19"/>
        </w:rPr>
        <w:fldChar w:fldCharType="end"/>
      </w:r>
      <w:r w:rsidRPr="00464420">
        <w:rPr>
          <w:rFonts w:ascii="Verdana" w:hAnsi="Verdana" w:cs="Arial"/>
          <w:sz w:val="19"/>
          <w:szCs w:val="19"/>
        </w:rPr>
        <w:t xml:space="preserve">. Infectious diarrhea is not caused by a single virus or bacterium. Instead, there are several types of diarrhea: bacterial, viral, and parasitic. Each type of diarrhea has different mechanisms and affect different cellular functions with research still ongoing to understand them, as they require different treatments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{"citationItems":[{"id":"ITEM-1","itemData":{"DOI":"10.4161/gmic.1.1.11036","ISSN":"19490976","abstract":"Diarrhea caused by enteric infections is a major factor in morbidity and mortality worldwide. An estimated 2-4 billion episodes of infectious diarrhea occur each year and are especially prevalent in infants. This review highlights the cellular and molecular mechanisms underlying diarrhea associated with the three classes of infectious agents, i.e., bacteria, viruses and parasites. Several bacterial pathogens have been chosen as model organisms, including Vibrio cholerae as a classical example of secretory diarrhea, Clostridium difficile and Shigella species as agents of inflammatory diarrhea and selected strains of pathogenic Escherichia coli (E. coli) to discuss the recent advances in alteration of epithelial ion absorption. Many of the recent studies addressing epithelial ion transport and barrier function have been carried out using viruses and parasites. Here, we focus on the rapidly developing field of viral diarrhea including rotavirus, norovirus and astrovirus infections. Finally we discuss Giardia lamblia and Entamoeba histolytica as examples of parasitic diarrhea. Parasites have a greater complexity than the other pathogens and are capable of creating molecules similar to those produced by the host, such as serotonin and PGe2. The underlying mechanisms of infectious diarrhea discussed include alterations in ion transport and tight junctions as well as the virulence factors, which alter these processes either through direct effects or indirectly through inflammation and neurotransmitters. © 2010 Landes Bioscience.","author":[{"dropping-particle":"","family":"Hodges","given":"Kim","non-dropping-particle":"","parse-names":false,"suffix":""},{"dropping-particle":"","family":"Gill","given":"Ravinder","non-dropping-particle":"","parse-names":false,"suffix":""}],"container-title":"Gut Microbes","id":"ITEM-1","issue":"1","issued":{"date-parts":[["2010"]]},"page":"4-21","title":"Infectious diarrhea: Cellular and molecular mechanisms","type":"article-journal","volume":"1"},"uris":["http://www.mendeley.com/documents/?uuid=12265a2a-59a3-4b8f-b45a-587b0912713e","http://www.mendeley.com/documents/?uuid=a76f3dd8-4bca-4792-af23-ed42743dfe9b","http://www.mendeley.com/documents/?uuid=73d3a9b4-e001-45fe-986a-7e24aca6e836","http://www.mendeley.com/documents/?uuid=9895f593-8d23-40e7-b9d2-f6bb794b6830"]}],"mendeley":{"formattedCitation":"(Hodges &amp; Gill, 2010)","plainTextFormattedCitation":"(Hodges &amp; Gill, 2010)","previouslyFormattedCitation":"(Hodges &amp; Gill, 2010)"},"properties":{"noteIndex":0},"schema":"https://github.com/citation-style-language/schema/raw/master/csl-citation.json"}</w:instrText>
      </w:r>
      <w:r w:rsidRPr="00464420">
        <w:rPr>
          <w:rFonts w:ascii="Verdana" w:hAnsi="Verdana" w:cs="Arial"/>
          <w:sz w:val="19"/>
          <w:szCs w:val="19"/>
        </w:rPr>
        <w:fldChar w:fldCharType="separate"/>
      </w:r>
      <w:r w:rsidR="00F167F2" w:rsidRPr="00464420">
        <w:rPr>
          <w:rFonts w:ascii="Verdana" w:hAnsi="Verdana" w:cs="Arial"/>
          <w:noProof/>
          <w:sz w:val="19"/>
          <w:szCs w:val="19"/>
        </w:rPr>
        <w:t>(Hodges &amp; Gill, 2010)</w:t>
      </w:r>
      <w:r w:rsidRPr="00464420">
        <w:rPr>
          <w:rFonts w:ascii="Verdana" w:hAnsi="Verdana" w:cs="Arial"/>
          <w:sz w:val="19"/>
          <w:szCs w:val="19"/>
        </w:rPr>
        <w:fldChar w:fldCharType="end"/>
      </w:r>
      <w:r w:rsidRPr="00464420">
        <w:rPr>
          <w:rFonts w:ascii="Verdana" w:hAnsi="Verdana" w:cs="Arial"/>
          <w:sz w:val="19"/>
          <w:szCs w:val="19"/>
        </w:rPr>
        <w:t>.</w:t>
      </w:r>
      <w:r w:rsidR="009A1597" w:rsidRPr="00464420">
        <w:rPr>
          <w:rFonts w:ascii="Verdana" w:hAnsi="Verdana" w:cs="Arial"/>
          <w:sz w:val="19"/>
          <w:szCs w:val="19"/>
        </w:rPr>
        <w:t xml:space="preserve"> </w:t>
      </w:r>
      <w:r w:rsidR="003566F3" w:rsidRPr="00464420">
        <w:rPr>
          <w:rFonts w:ascii="Verdana" w:hAnsi="Verdana"/>
          <w:sz w:val="19"/>
          <w:szCs w:val="19"/>
        </w:rPr>
        <w:t>According to</w:t>
      </w:r>
      <w:r w:rsidR="009A1597" w:rsidRPr="00464420">
        <w:rPr>
          <w:rFonts w:ascii="Verdana" w:hAnsi="Verdana"/>
          <w:sz w:val="19"/>
          <w:szCs w:val="19"/>
        </w:rPr>
        <w:t xml:space="preserve"> Ministry of </w:t>
      </w:r>
      <w:r w:rsidR="003566F3" w:rsidRPr="00464420">
        <w:rPr>
          <w:rFonts w:ascii="Verdana" w:hAnsi="Verdana"/>
          <w:sz w:val="19"/>
          <w:szCs w:val="19"/>
        </w:rPr>
        <w:t>Health in 2018,</w:t>
      </w:r>
      <w:r w:rsidR="009A1597" w:rsidRPr="00464420">
        <w:rPr>
          <w:rFonts w:ascii="Verdana" w:hAnsi="Verdana"/>
          <w:sz w:val="19"/>
          <w:szCs w:val="19"/>
        </w:rPr>
        <w:t xml:space="preserve"> </w:t>
      </w:r>
      <w:r w:rsidR="003566F3" w:rsidRPr="00464420">
        <w:rPr>
          <w:rFonts w:ascii="Verdana" w:hAnsi="Verdana"/>
          <w:sz w:val="19"/>
          <w:szCs w:val="19"/>
        </w:rPr>
        <w:t xml:space="preserve">diarrhea is a type of disease that </w:t>
      </w:r>
      <w:r w:rsidR="009A1597" w:rsidRPr="00464420">
        <w:rPr>
          <w:rFonts w:ascii="Verdana" w:hAnsi="Verdana"/>
          <w:sz w:val="19"/>
          <w:szCs w:val="19"/>
        </w:rPr>
        <w:t xml:space="preserve">can cause death in infants. Diarrhea can also be transmitted quickly through unclean environments and consuming dirty water </w:t>
      </w:r>
      <w:r w:rsidR="009A1597" w:rsidRPr="00464420">
        <w:rPr>
          <w:rFonts w:ascii="Verdana" w:hAnsi="Verdana"/>
          <w:sz w:val="19"/>
          <w:szCs w:val="19"/>
        </w:rPr>
        <w:fldChar w:fldCharType="begin" w:fldLock="1"/>
      </w:r>
      <w:r w:rsidR="00D10A8A">
        <w:rPr>
          <w:rFonts w:ascii="Verdana" w:hAnsi="Verdana"/>
          <w:sz w:val="19"/>
          <w:szCs w:val="19"/>
        </w:rPr>
        <w:instrText>ADDIN CSL_CITATION {"citationItems":[{"id":"ITEM-1","itemData":{"abstract":"Abstrak ___________________________________________________________________ Latar Belakang: Penyakit diare masih menjadi salah satu masalah kesehatan utama penyebab kesakitan dan kematian terutama pada balita. Tujuan penelitian ini adalah mengetahui hubungan pengetahuan dan kebiasaan mencuci tangan pengasuh dengan kejadian diare pada balita di kelurahan Bandarharjo, Kota Semarang. Metode: Metode penelitian ini menggunakan desain cross sectional dengan 70 sampel balita usia 1 -4 tahun yang pernah menderita diare di wilayah kelurahan Bandarharjo. Instrumen yang digunakan berupa kuesioner. Analisis data dilakukan secara univariat dan bivariat (uji chi square dengan α=0,05) dan menghitung Prevalance Risk (PR). Hasil: Hasil penelitian yaitu ada hubungan signifikansi antara pengetahuan (ρ = 0,002), kebiasaan mencuci tangan pengasuh setelah buang air besar (p = 0,016), kebasaan cuci tangan sebelum menyiapkan alat makan (p = 0,000), dan kebiasaan cuci tangan sebelum memberi makan(p = 0,001) dengan kejadian diare pada balita. Simpulan: Pengetahuan, kebiasaan mencuci tangan pengasuh setelah buang air besar, kebasaan cuci tangan sebelum menyiapkan alat makan, dan kebiasaan cuci tangan sebelum memberi makan berhubungan dengan kejadian diare pada balita. Abstract ___________________________________________________________________","author":[{"dropping-particle":"","family":"Ragil","given":"Dyah WL","non-dropping-particle":"","parse-names":false,"suffix":""},{"dropping-particle":"","family":"Dyah","given":"Yunita PS","non-dropping-particle":"","parse-names":false,"suffix":""}],"container-title":"Jhe","id":"ITEM-1","issue":"1","issued":{"date-parts":[["2017"]]},"page":"39-46","title":"Jurnal of Health Education HUBUNGAN ANTARA PENGETAHUAN DAN KEBIASAAN MENCUCI TANGAN PENGASUH DENGAN KEJADIAN DIARE PADA BALITA Info Artikel","type":"article-journal","volume":"2"},"uris":["http://www.mendeley.com/documents/?uuid=d07f925e-97a6-40f1-93e2-d79802fff56d","http://www.mendeley.com/documents/?uuid=c3be05e4-2efe-4793-aedf-9b7d174f5845","http://www.mendeley.com/documents/?uuid=36757383-fc42-483e-9dc0-4a203b9631d6"]}],"mendeley":{"formattedCitation":"(Ragil &amp; Dyah, 2017)","plainTextFormattedCitation":"(Ragil &amp; Dyah, 2017)","previouslyFormattedCitation":"(Ragil &amp; Dyah, 2017)"},"properties":{"noteIndex":0},"schema":"https://github.com/citation-style-language/schema/raw/master/csl-citation.json"}</w:instrText>
      </w:r>
      <w:r w:rsidR="009A1597" w:rsidRPr="00464420">
        <w:rPr>
          <w:rFonts w:ascii="Verdana" w:hAnsi="Verdana"/>
          <w:sz w:val="19"/>
          <w:szCs w:val="19"/>
        </w:rPr>
        <w:fldChar w:fldCharType="separate"/>
      </w:r>
      <w:r w:rsidR="00F167F2" w:rsidRPr="00464420">
        <w:rPr>
          <w:rFonts w:ascii="Verdana" w:hAnsi="Verdana"/>
          <w:noProof/>
          <w:sz w:val="19"/>
          <w:szCs w:val="19"/>
        </w:rPr>
        <w:t>(Ragil &amp; Dyah, 2017)</w:t>
      </w:r>
      <w:r w:rsidR="009A1597" w:rsidRPr="00464420">
        <w:rPr>
          <w:rFonts w:ascii="Verdana" w:hAnsi="Verdana"/>
          <w:sz w:val="19"/>
          <w:szCs w:val="19"/>
        </w:rPr>
        <w:fldChar w:fldCharType="end"/>
      </w:r>
      <w:r w:rsidR="009A1597" w:rsidRPr="00464420">
        <w:rPr>
          <w:rFonts w:ascii="Verdana" w:hAnsi="Verdana"/>
          <w:sz w:val="19"/>
          <w:szCs w:val="19"/>
        </w:rPr>
        <w:t>.</w:t>
      </w:r>
    </w:p>
    <w:p w14:paraId="0048ACDE" w14:textId="46D63C5B" w:rsidR="004650F4" w:rsidRPr="00464420" w:rsidRDefault="004650F4" w:rsidP="004650F4">
      <w:pPr>
        <w:spacing w:beforeLines="80" w:before="192" w:after="0"/>
        <w:ind w:firstLine="720"/>
        <w:jc w:val="both"/>
        <w:rPr>
          <w:rFonts w:ascii="Verdana" w:hAnsi="Verdana"/>
          <w:sz w:val="19"/>
          <w:szCs w:val="19"/>
        </w:rPr>
      </w:pPr>
      <w:r w:rsidRPr="00464420">
        <w:rPr>
          <w:rFonts w:ascii="Verdana" w:hAnsi="Verdana"/>
          <w:sz w:val="19"/>
          <w:szCs w:val="19"/>
        </w:rPr>
        <w:t xml:space="preserve">Tuberculosis (TB) is a type of infectious disease. The disease caused by the bacterium called Mycobacterium tuberculosis which is able to infect body especially the lungs. WHO reported that the current </w:t>
      </w:r>
      <w:r w:rsidR="00F223E1">
        <w:rPr>
          <w:rFonts w:ascii="Verdana" w:hAnsi="Verdana"/>
          <w:sz w:val="19"/>
          <w:szCs w:val="19"/>
        </w:rPr>
        <w:t xml:space="preserve">condition of TB has gotten </w:t>
      </w:r>
      <w:proofErr w:type="gramStart"/>
      <w:r w:rsidR="00F223E1">
        <w:rPr>
          <w:rFonts w:ascii="Verdana" w:hAnsi="Verdana"/>
          <w:sz w:val="19"/>
          <w:szCs w:val="19"/>
        </w:rPr>
        <w:t>worse.</w:t>
      </w:r>
      <w:proofErr w:type="gramEnd"/>
      <w:r w:rsidRPr="00464420">
        <w:rPr>
          <w:rFonts w:ascii="Verdana" w:hAnsi="Verdana"/>
          <w:sz w:val="19"/>
          <w:szCs w:val="19"/>
        </w:rPr>
        <w:t xml:space="preserve"> In 2017, around 1.7 billion of the total population in the world were infected with Mycobacterium tuberculosis </w:t>
      </w:r>
      <w:r w:rsidRPr="00464420">
        <w:rPr>
          <w:rFonts w:ascii="Verdana" w:hAnsi="Verdana"/>
          <w:sz w:val="19"/>
          <w:szCs w:val="19"/>
        </w:rPr>
        <w:fldChar w:fldCharType="begin" w:fldLock="1"/>
      </w:r>
      <w:r>
        <w:rPr>
          <w:rFonts w:ascii="Verdana" w:hAnsi="Verdana"/>
          <w:sz w:val="19"/>
          <w:szCs w:val="19"/>
        </w:rPr>
        <w:instrText>ADDIN CSL_CITATION {"citationItems":[{"id":"ITEM-1","itemData":{"DOI":"10.1371/journal.pmed.1002152","ISSN":"15491676","PMID":"27780211","abstract":"Background: The existing estimate of the global burden of latent TB infection (LTBI) as “one-third” of the world population is nearly 20 y old. Given the importance of controlling LTBI as part of the End TB Strategy for eliminating TB by 2050, changes in demography and scientific understanding, and progress in TB control, it is important to re-assess the global burden of LTBI. Methods and Findings: We constructed trends in annual risk in infection (ARI) for countries between 1934 and 2014 using a combination of direct estimates of ARI from LTBI surveys (131 surveys from 1950 to 2011) and indirect estimates of ARI calculated from World Health Organisation (WHO) estimates of smear positive TB prevalence from 1990 to 2014. Gaussian process regression was used to generate ARIs for country-years without data and to represent uncertainty. Estimated ARI time-series were applied to the demography in each country to calculate the number and proportions of individuals infected, recently infected (infected within 2 y), and recently infected with isoniazid (INH)-resistant strains. Resulting estimates were aggregated by WHO region. We estimated the contribution of existing infections to TB incidence in 2035 and 2050. In 2014, the global burden of LTBI was 23.0% (95% uncertainty interval [UI]: 20.4%–26.4%), amounting to approximately 1.7 billion people. WHO South-East Asia, Western-Pacific, and Africa regions had the highest prevalence and accounted for around 80% of those with LTBI. Prevalence of recent infection was 0.8% (95% UI: 0.7%–0.9%) of the global population, amounting to 55.5 (95% UI: 48.2–63.8) million individuals currently at high risk of TB disease, of which 10.9% (95% UI:10.2%–11.8%) was isoniazid-resistant. Current LTBI alone, assuming no additional infections from 2015 onwards, would be expected to generate TB incidences in the region of 16.5 per 100,000 per year in 2035 and 8.3 per 100,000 per year in 2050. Limitations included the quantity and methodological heterogeneity of direct ARI data, and limited evidence to inform on potential clearance of LTBI. Conclusions: We estimate that approximately 1.7 billion individuals were latently infected with Mycobacterium tuberculosis (M.tb) globally in 2014, just under a quarter of the global population. Investment in new tools to improve diagnosis and treatment of those with LTBI at risk of progressing to disease is urgently needed to address this latent reservoir if the 2050 target of eliminating TB is to b…","author":[{"dropping-particle":"","family":"Houben","given":"Rein M.G.J.","non-dropping-particle":"","parse-names":false,"suffix":""},{"dropping-particle":"","family":"Dodd","given":"Peter J.","non-dropping-particle":"","parse-names":false,"suffix":""}],"container-title":"PLoS Medicine","id":"ITEM-1","issue":"10","issued":{"date-parts":[["2016"]]},"page":"1-13","title":"The Global Burden of Latent Tuberculosis Infection: A Re-estimation Using Mathematical Modelling","type":"article-journal","volume":"13"},"uris":["http://www.mendeley.com/documents/?uuid=fc24d7d0-b179-4e56-83f6-33dfaf7d94fe","http://www.mendeley.com/documents/?uuid=ff37243d-f0b2-46ed-919f-0729017fa392","http://www.mendeley.com/documents/?uuid=b790809b-14ab-4e53-98ed-cc291a232dc3"]}],"mendeley":{"formattedCitation":"(Houben &amp; Dodd, 2016)","plainTextFormattedCitation":"(Houben &amp; Dodd, 2016)","previouslyFormattedCitation":"(Houben &amp; Dodd, 2016)"},"properties":{"noteIndex":0},"schema":"https://github.com/citation-style-language/schema/raw/master/csl-citation.json"}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(Houben &amp; Dodd, 2016)</w:t>
      </w:r>
      <w:r w:rsidRPr="00464420">
        <w:rPr>
          <w:rFonts w:ascii="Verdana" w:hAnsi="Verdana"/>
          <w:sz w:val="19"/>
          <w:szCs w:val="19"/>
        </w:rPr>
        <w:fldChar w:fldCharType="end"/>
      </w:r>
      <w:r w:rsidRPr="00464420">
        <w:rPr>
          <w:rFonts w:ascii="Verdana" w:hAnsi="Verdana"/>
          <w:sz w:val="19"/>
          <w:szCs w:val="19"/>
        </w:rPr>
        <w:t xml:space="preserve">. This disease is included in the category of the nine main causes of death in the world higher than HIV / AIDS. Every year, an average of ten million people worldwide was dead from tuberculosis. Tuberculosis is currently one of the global health problems, especially in developing countries, including in Indonesia </w:t>
      </w:r>
      <w:r w:rsidRPr="00464420">
        <w:rPr>
          <w:rFonts w:ascii="Verdana" w:hAnsi="Verdana"/>
          <w:sz w:val="19"/>
          <w:szCs w:val="19"/>
        </w:rPr>
        <w:fldChar w:fldCharType="begin" w:fldLock="1"/>
      </w:r>
      <w:r>
        <w:rPr>
          <w:rFonts w:ascii="Verdana" w:hAnsi="Verdana"/>
          <w:sz w:val="19"/>
          <w:szCs w:val="19"/>
        </w:rPr>
        <w:instrText>ADDIN CSL_CITATION {"citationItems":[{"id":"ITEM-1","itemData":{"DOI":"10.1596/978-0-8213-6179- 5","ISBN":"978-0-8213-6179-5","ISSN":"0098-7484","PMID":"1983911","abstract":"Tuberculosis. In: Jamison DT, Mosley WH, Measham AR, Bobadilla JL, editors.","author":[{"dropping-particle":"","family":"Jamison","given":"Dean T","non-dropping-particle":"","parse-names":false,"suffix":""},{"dropping-particle":"","family":"Breman","given":"Joel G.","non-dropping-particle":"","parse-names":false,"suffix":""},{"dropping-particle":"","family":"Measham","given":"Anthiny R.","non-dropping-particle":"","parse-names":false,"suffix":""},{"dropping-particle":"","family":"Alleyne","given":"George","non-dropping-particle":"","parse-names":false,"suffix":""},{"dropping-particle":"","family":"Claeson","given":"Mariam","non-dropping-particle":"","parse-names":false,"suffix":""}],"container-title":"Disease Control Priorities in Developing Countries (2nd Edition)","id":"ITEM-1","issued":{"date-parts":[["2006"]]},"number-of-pages":"xiii","title":"Disease Control Priorities in Developing Countries","type":"book"},"uris":["http://www.mendeley.com/documents/?uuid=af4c80d4-1e12-4f00-aaff-3dabdea0d135","http://www.mendeley.com/documents/?uuid=29cb15df-1f40-4ee5-9efd-5cfe77a7ea5d","http://www.mendeley.com/documents/?uuid=7aceda45-954a-41b3-943d-c122b5aebb02"]}],"mendeley":{"formattedCitation":"(Jamison, Breman, Measham, Alleyne, &amp; Claeson, 2006)","plainTextFormattedCitation":"(Jamison, Breman, Measham, Alleyne, &amp; Claeson, 2006)","previouslyFormattedCitation":"(Jamison, Breman, Measham, Alleyne, &amp; Claeson, 2006)"},"properties":{"noteIndex":0},"schema":"https://github.com/citation-style-language/schema/raw/master/csl-citation.json"}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(Jamison, Breman, Measham, Alleyne, &amp; Claeson, 2006)</w:t>
      </w:r>
      <w:r w:rsidRPr="00464420">
        <w:rPr>
          <w:rFonts w:ascii="Verdana" w:hAnsi="Verdana"/>
          <w:sz w:val="19"/>
          <w:szCs w:val="19"/>
        </w:rPr>
        <w:fldChar w:fldCharType="end"/>
      </w:r>
      <w:r w:rsidRPr="00464420">
        <w:rPr>
          <w:rFonts w:ascii="Verdana" w:hAnsi="Verdana"/>
          <w:sz w:val="19"/>
          <w:szCs w:val="19"/>
        </w:rPr>
        <w:t>. Indonesia ranks the second in the category of five countries with the highest number of tuberculosis cases in the world after India. It can be indicated by new tuberculosis cases found in Indonesia in 2016. The tuberculosis incidence in Indonesia is estimated around 360,770 people in 2017, higher than the previous ye</w:t>
      </w:r>
      <w:r>
        <w:rPr>
          <w:rFonts w:ascii="Verdana" w:hAnsi="Verdana"/>
          <w:sz w:val="19"/>
          <w:szCs w:val="19"/>
        </w:rPr>
        <w:t>ar which reached 351,893 people</w:t>
      </w:r>
      <w:r w:rsidRPr="00464420">
        <w:rPr>
          <w:rFonts w:ascii="Verdana" w:hAnsi="Verdana"/>
          <w:sz w:val="19"/>
          <w:szCs w:val="19"/>
        </w:rPr>
        <w:t xml:space="preserve"> </w:t>
      </w:r>
      <w:r w:rsidRPr="00464420">
        <w:rPr>
          <w:rFonts w:ascii="Verdana" w:hAnsi="Verdana"/>
          <w:sz w:val="19"/>
          <w:szCs w:val="19"/>
        </w:rPr>
        <w:fldChar w:fldCharType="begin" w:fldLock="1"/>
      </w:r>
      <w:r>
        <w:rPr>
          <w:rFonts w:ascii="Verdana" w:hAnsi="Verdana"/>
          <w:sz w:val="19"/>
          <w:szCs w:val="19"/>
        </w:rPr>
        <w:instrText>ADDIN CSL_CITATION {"citationItems":[{"id":"ITEM-1","itemData":{"author":[{"dropping-particle":"","family":"Ministry of Health","given":"","non-dropping-particle":"","parse-names":false,"suffix":""}],"id":"ITEM-1","issued":{"date-parts":[["2019"]]},"title":"Profil Kesehatan Indonesia 2018","type":"report"},"uris":["http://www.mendeley.com/documents/?uuid=970fb724-2de8-4a9f-af30-9b91e426ff6b","http://www.mendeley.com/documents/?uuid=c242d69b-e8db-41a1-8096-e0357331d508","http://www.mendeley.com/documents/?uuid=28beb11b-6f5e-42ce-88d7-73f91a0595c5"]}],"mendeley":{"formattedCitation":"(Ministry of Health, 2019)","plainTextFormattedCitation":"(Ministry of Health, 2019)","previouslyFormattedCitation":"(Ministry of Health, 2019)"},"properties":{"noteIndex":0},"schema":"https://github.com/citation-style-language/schema/raw/master/csl-citation.json"}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(Ministry of Health, 2019)</w:t>
      </w:r>
      <w:r w:rsidRPr="00464420">
        <w:rPr>
          <w:rFonts w:ascii="Verdana" w:hAnsi="Verdana"/>
          <w:sz w:val="19"/>
          <w:szCs w:val="19"/>
        </w:rPr>
        <w:fldChar w:fldCharType="end"/>
      </w:r>
      <w:r w:rsidRPr="00464420">
        <w:rPr>
          <w:rFonts w:ascii="Verdana" w:hAnsi="Verdana"/>
          <w:sz w:val="19"/>
          <w:szCs w:val="19"/>
        </w:rPr>
        <w:t>.</w:t>
      </w:r>
    </w:p>
    <w:p w14:paraId="3CBF12D7" w14:textId="7C98BF35" w:rsidR="00E62325" w:rsidRDefault="00E62325" w:rsidP="006114AA">
      <w:pPr>
        <w:pStyle w:val="ListParagraph"/>
        <w:spacing w:before="80" w:after="0" w:line="240" w:lineRule="auto"/>
        <w:ind w:left="0" w:firstLine="835"/>
        <w:jc w:val="both"/>
        <w:rPr>
          <w:rFonts w:ascii="Verdana" w:hAnsi="Verdana"/>
          <w:sz w:val="19"/>
          <w:szCs w:val="19"/>
        </w:rPr>
      </w:pPr>
      <w:r>
        <w:rPr>
          <w:rFonts w:ascii="Verdana" w:hAnsi="Verdana"/>
          <w:sz w:val="19"/>
          <w:szCs w:val="19"/>
        </w:rPr>
        <w:t xml:space="preserve">Data of three common diseases in Indonesia (TB, dengue, and diarrhea) showed that </w:t>
      </w:r>
      <w:r w:rsidR="00F223E1">
        <w:rPr>
          <w:rFonts w:ascii="Verdana" w:hAnsi="Verdana"/>
          <w:sz w:val="19"/>
          <w:szCs w:val="19"/>
        </w:rPr>
        <w:t>cities/</w:t>
      </w:r>
      <w:r w:rsidR="00BF4509">
        <w:rPr>
          <w:rFonts w:ascii="Verdana" w:hAnsi="Verdana"/>
          <w:sz w:val="19"/>
          <w:szCs w:val="19"/>
        </w:rPr>
        <w:t>districts</w:t>
      </w:r>
      <w:r>
        <w:rPr>
          <w:rFonts w:ascii="Verdana" w:hAnsi="Verdana"/>
          <w:sz w:val="19"/>
          <w:szCs w:val="19"/>
        </w:rPr>
        <w:t xml:space="preserve"> in </w:t>
      </w:r>
      <w:proofErr w:type="spellStart"/>
      <w:r>
        <w:rPr>
          <w:rFonts w:ascii="Verdana" w:hAnsi="Verdana"/>
          <w:sz w:val="19"/>
          <w:szCs w:val="19"/>
        </w:rPr>
        <w:t>Sumarta</w:t>
      </w:r>
      <w:proofErr w:type="spellEnd"/>
      <w:r>
        <w:rPr>
          <w:rFonts w:ascii="Verdana" w:hAnsi="Verdana"/>
          <w:sz w:val="19"/>
          <w:szCs w:val="19"/>
        </w:rPr>
        <w:t xml:space="preserve"> </w:t>
      </w:r>
      <w:r w:rsidR="00C528DB">
        <w:rPr>
          <w:rFonts w:ascii="Verdana" w:hAnsi="Verdana"/>
          <w:sz w:val="19"/>
          <w:szCs w:val="19"/>
        </w:rPr>
        <w:t>Island</w:t>
      </w:r>
      <w:r>
        <w:rPr>
          <w:rFonts w:ascii="Verdana" w:hAnsi="Verdana"/>
          <w:sz w:val="19"/>
          <w:szCs w:val="19"/>
        </w:rPr>
        <w:t xml:space="preserve"> are</w:t>
      </w:r>
      <w:r w:rsidR="00C84606">
        <w:rPr>
          <w:rFonts w:ascii="Verdana" w:hAnsi="Verdana"/>
          <w:sz w:val="19"/>
          <w:szCs w:val="19"/>
        </w:rPr>
        <w:t xml:space="preserve"> high</w:t>
      </w:r>
      <w:r w:rsidR="00470354">
        <w:rPr>
          <w:rFonts w:ascii="Verdana" w:hAnsi="Verdana"/>
          <w:sz w:val="19"/>
          <w:szCs w:val="19"/>
        </w:rPr>
        <w:t xml:space="preserve"> </w:t>
      </w:r>
      <w:r w:rsidR="00470354">
        <w:rPr>
          <w:rFonts w:ascii="Verdana" w:hAnsi="Verdana"/>
          <w:sz w:val="19"/>
          <w:szCs w:val="19"/>
        </w:rPr>
        <w:fldChar w:fldCharType="begin" w:fldLock="1"/>
      </w:r>
      <w:r w:rsidR="00470354">
        <w:rPr>
          <w:rFonts w:ascii="Verdana" w:hAnsi="Verdana"/>
          <w:sz w:val="19"/>
          <w:szCs w:val="19"/>
        </w:rPr>
        <w:instrText>ADDIN CSL_CITATION {"citationItems":[{"id":"ITEM-1","itemData":{"author":[{"dropping-particle":"","family":"Badan Pusat Statistik","given":"","non-dropping-particle":"","parse-names":false,"suffix":""}],"id":"ITEM-1","issued":{"date-parts":[["2017"]]},"number-of-pages":"1-750","title":"Statistik Indonesia","type":"book"},"uris":["http://www.mendeley.com/documents/?uuid=8c37bf85-b726-49ea-b799-db6911c44923"]}],"mendeley":{"formattedCitation":"(Badan Pusat Statistik, 2017)","plainTextFormattedCitation":"(Badan Pusat Statistik, 2017)","previouslyFormattedCitation":"(Badan Pusat Statistik, 2017)"},"properties":{"noteIndex":0},"schema":"https://github.com/citation-style-language/schema/raw/master/csl-citation.json"}</w:instrText>
      </w:r>
      <w:r w:rsidR="00470354">
        <w:rPr>
          <w:rFonts w:ascii="Verdana" w:hAnsi="Verdana"/>
          <w:sz w:val="19"/>
          <w:szCs w:val="19"/>
        </w:rPr>
        <w:fldChar w:fldCharType="separate"/>
      </w:r>
      <w:r w:rsidR="00470354" w:rsidRPr="00470354">
        <w:rPr>
          <w:rFonts w:ascii="Verdana" w:hAnsi="Verdana"/>
          <w:noProof/>
          <w:sz w:val="19"/>
          <w:szCs w:val="19"/>
        </w:rPr>
        <w:t>(Badan Pusat Statistik, 2017)</w:t>
      </w:r>
      <w:r w:rsidR="00470354">
        <w:rPr>
          <w:rFonts w:ascii="Verdana" w:hAnsi="Verdana"/>
          <w:sz w:val="19"/>
          <w:szCs w:val="19"/>
        </w:rPr>
        <w:fldChar w:fldCharType="end"/>
      </w:r>
      <w:r>
        <w:rPr>
          <w:rFonts w:ascii="Verdana" w:hAnsi="Verdana"/>
          <w:sz w:val="19"/>
          <w:szCs w:val="19"/>
        </w:rPr>
        <w:t xml:space="preserve">. </w:t>
      </w:r>
      <w:r w:rsidRPr="00464420">
        <w:t xml:space="preserve">The average new cases of dengue fever are 221 cases with a total about 29 thousand new cases in all </w:t>
      </w:r>
      <w:r w:rsidR="00BF4509">
        <w:t>cities/</w:t>
      </w:r>
      <w:r w:rsidRPr="00464420">
        <w:t xml:space="preserve">districts on Sumatra Island. The average number of new cases of diarrhea is higher, at 6.9 thousand cases with a total about 905 thousand new cases in all districts on Sumatra Island. While the average of new tuberculosis cases are 363 cases with total about 47 thousand new cases in all </w:t>
      </w:r>
      <w:r w:rsidR="00BF4509">
        <w:t>cities/</w:t>
      </w:r>
      <w:r w:rsidRPr="00464420">
        <w:t xml:space="preserve">districts </w:t>
      </w:r>
      <w:r w:rsidR="00BF4509">
        <w:t>i</w:t>
      </w:r>
      <w:r w:rsidRPr="00464420">
        <w:t xml:space="preserve">n Sumatra Island </w:t>
      </w:r>
      <w:r w:rsidR="00470354">
        <w:fldChar w:fldCharType="begin" w:fldLock="1"/>
      </w:r>
      <w:r w:rsidR="00462930">
        <w:instrText>ADDIN CSL_CITATION {"citationItems":[{"id":"ITEM-1","itemData":{"author":[{"dropping-particle":"","family":"Badan Pusat Statistik","given":"","non-dropping-particle":"","parse-names":false,"suffix":""}],"id":"ITEM-1","issued":{"date-parts":[["2017"]]},"number-of-pages":"1-750","title":"Statistik Indonesia","type":"book"},"uris":["http://www.mendeley.com/documents/?uuid=8c37bf85-b726-49ea-b799-db6911c44923"]}],"mendeley":{"formattedCitation":"(Badan Pusat Statistik, 2017)","plainTextFormattedCitation":"(Badan Pusat Statistik, 2017)","previouslyFormattedCitation":"(Badan Pusat Statistik, 2017)"},"properties":{"noteIndex":0},"schema":"https://github.com/citation-style-language/schema/raw/master/csl-citation.json"}</w:instrText>
      </w:r>
      <w:r w:rsidR="00470354">
        <w:fldChar w:fldCharType="separate"/>
      </w:r>
      <w:r w:rsidR="00470354" w:rsidRPr="00470354">
        <w:rPr>
          <w:noProof/>
        </w:rPr>
        <w:t>(Badan Pusat Statistik, 2017)</w:t>
      </w:r>
      <w:r w:rsidR="00470354">
        <w:fldChar w:fldCharType="end"/>
      </w:r>
    </w:p>
    <w:p w14:paraId="702333ED" w14:textId="61C321ED" w:rsidR="00C8494D" w:rsidRPr="00464420" w:rsidRDefault="00BF4509" w:rsidP="00C8494D">
      <w:pPr>
        <w:pStyle w:val="MIMBAR-Paragraf"/>
        <w:spacing w:beforeLines="80" w:before="192"/>
        <w:ind w:right="-14"/>
      </w:pPr>
      <w:r>
        <w:lastRenderedPageBreak/>
        <w:t xml:space="preserve">Given the relatively high health budget inequality and number of TB, dengue and diarrhea cases in cities/districts in Sumatra </w:t>
      </w:r>
      <w:r w:rsidR="00626BA7">
        <w:t>Island</w:t>
      </w:r>
      <w:r>
        <w:t>, t</w:t>
      </w:r>
      <w:r w:rsidR="00C8494D" w:rsidRPr="00464420">
        <w:t>his study</w:t>
      </w:r>
      <w:r w:rsidR="003566F3" w:rsidRPr="00464420">
        <w:t xml:space="preserve"> aim</w:t>
      </w:r>
      <w:r w:rsidR="00C8494D" w:rsidRPr="00464420">
        <w:t xml:space="preserve">s to </w:t>
      </w:r>
      <w:r>
        <w:t xml:space="preserve">analyze </w:t>
      </w:r>
      <w:r w:rsidR="00C8494D" w:rsidRPr="00464420">
        <w:t xml:space="preserve">the effect of </w:t>
      </w:r>
      <w:r>
        <w:t>cities/</w:t>
      </w:r>
      <w:r w:rsidR="00C8494D" w:rsidRPr="00464420">
        <w:t>district</w:t>
      </w:r>
      <w:r>
        <w:t>s</w:t>
      </w:r>
      <w:r w:rsidR="00C8494D" w:rsidRPr="00464420">
        <w:t xml:space="preserve"> health spending</w:t>
      </w:r>
      <w:r w:rsidR="00EB37CF" w:rsidRPr="00464420">
        <w:t xml:space="preserve"> </w:t>
      </w:r>
      <w:r w:rsidR="00C8494D" w:rsidRPr="00464420">
        <w:t xml:space="preserve">on </w:t>
      </w:r>
      <w:r>
        <w:t xml:space="preserve">number of </w:t>
      </w:r>
      <w:r w:rsidR="00C8494D" w:rsidRPr="00464420">
        <w:t>disease</w:t>
      </w:r>
      <w:r>
        <w:t>s</w:t>
      </w:r>
      <w:r w:rsidR="00C8494D" w:rsidRPr="00464420">
        <w:t xml:space="preserve"> cases in </w:t>
      </w:r>
      <w:r>
        <w:t>respective cities/</w:t>
      </w:r>
      <w:r w:rsidR="00C8494D" w:rsidRPr="00464420">
        <w:t xml:space="preserve">districts </w:t>
      </w:r>
      <w:r>
        <w:t>i</w:t>
      </w:r>
      <w:r w:rsidR="00C8494D" w:rsidRPr="00464420">
        <w:t>n Sumatra Island.</w:t>
      </w:r>
    </w:p>
    <w:p w14:paraId="118BED2F" w14:textId="32FD13D7" w:rsidR="00B343FF" w:rsidRPr="00464420" w:rsidRDefault="00E62325" w:rsidP="00B343FF">
      <w:pPr>
        <w:pStyle w:val="MIMBAR-Section"/>
        <w:rPr>
          <w:lang w:val="en-US"/>
        </w:rPr>
      </w:pPr>
      <w:r>
        <w:rPr>
          <w:lang w:val="en-US"/>
        </w:rPr>
        <w:t>Methods</w:t>
      </w:r>
    </w:p>
    <w:p w14:paraId="4016CEB5" w14:textId="7441115E" w:rsidR="00730138" w:rsidRPr="00464420" w:rsidRDefault="00A25594" w:rsidP="000D18A9">
      <w:pPr>
        <w:spacing w:beforeLines="80" w:before="192" w:after="0"/>
        <w:ind w:firstLine="709"/>
        <w:jc w:val="both"/>
        <w:rPr>
          <w:rFonts w:ascii="Verdana" w:hAnsi="Verdana" w:cs="Arial"/>
          <w:sz w:val="19"/>
          <w:szCs w:val="19"/>
        </w:rPr>
      </w:pPr>
      <w:r w:rsidRPr="00464420">
        <w:rPr>
          <w:rFonts w:ascii="Verdana" w:hAnsi="Verdana" w:cs="Arial"/>
          <w:sz w:val="19"/>
          <w:szCs w:val="19"/>
        </w:rPr>
        <w:t xml:space="preserve">This study uses data from 131 </w:t>
      </w:r>
      <w:r w:rsidR="00BF4509">
        <w:rPr>
          <w:rFonts w:ascii="Verdana" w:hAnsi="Verdana" w:cs="Arial"/>
          <w:sz w:val="19"/>
          <w:szCs w:val="19"/>
        </w:rPr>
        <w:t>cities/</w:t>
      </w:r>
      <w:r w:rsidRPr="00464420">
        <w:rPr>
          <w:rFonts w:ascii="Verdana" w:hAnsi="Verdana" w:cs="Arial"/>
          <w:sz w:val="19"/>
          <w:szCs w:val="19"/>
        </w:rPr>
        <w:t xml:space="preserve">districts </w:t>
      </w:r>
      <w:r w:rsidR="004609FD">
        <w:rPr>
          <w:rFonts w:ascii="Verdana" w:hAnsi="Verdana" w:cs="Arial"/>
          <w:sz w:val="19"/>
          <w:szCs w:val="19"/>
        </w:rPr>
        <w:t>spread in</w:t>
      </w:r>
      <w:r w:rsidRPr="00464420">
        <w:rPr>
          <w:rFonts w:ascii="Verdana" w:hAnsi="Verdana" w:cs="Arial"/>
          <w:sz w:val="19"/>
          <w:szCs w:val="19"/>
        </w:rPr>
        <w:t xml:space="preserve"> </w:t>
      </w:r>
      <w:r w:rsidR="004609FD">
        <w:rPr>
          <w:rFonts w:ascii="Verdana" w:hAnsi="Verdana" w:cs="Arial"/>
          <w:sz w:val="19"/>
          <w:szCs w:val="19"/>
        </w:rPr>
        <w:t>eight</w:t>
      </w:r>
      <w:r w:rsidR="004609FD" w:rsidRPr="00464420">
        <w:rPr>
          <w:rFonts w:ascii="Verdana" w:hAnsi="Verdana" w:cs="Arial"/>
          <w:sz w:val="19"/>
          <w:szCs w:val="19"/>
        </w:rPr>
        <w:t xml:space="preserve"> </w:t>
      </w:r>
      <w:r w:rsidRPr="00464420">
        <w:rPr>
          <w:rFonts w:ascii="Verdana" w:hAnsi="Verdana" w:cs="Arial"/>
          <w:sz w:val="19"/>
          <w:szCs w:val="19"/>
        </w:rPr>
        <w:t>provinces in Sumatra Island</w:t>
      </w:r>
      <w:r w:rsidR="00762AE6" w:rsidRPr="00464420">
        <w:rPr>
          <w:rFonts w:ascii="Verdana" w:hAnsi="Verdana" w:cs="Arial"/>
          <w:sz w:val="19"/>
          <w:szCs w:val="19"/>
        </w:rPr>
        <w:t>, namely</w:t>
      </w:r>
      <w:r w:rsidRPr="00464420">
        <w:rPr>
          <w:rFonts w:ascii="Verdana" w:hAnsi="Verdana" w:cs="Arial"/>
          <w:sz w:val="19"/>
          <w:szCs w:val="19"/>
        </w:rPr>
        <w:t xml:space="preserve"> Aceh, North Sumatra, West Sumatra, Riau, Jambi, South Sumatra, Bengkulu and Lampung</w:t>
      </w:r>
      <w:r w:rsidR="004609FD">
        <w:rPr>
          <w:rFonts w:ascii="Verdana" w:hAnsi="Verdana" w:cs="Arial"/>
          <w:sz w:val="19"/>
          <w:szCs w:val="19"/>
        </w:rPr>
        <w:t xml:space="preserve"> provinces</w:t>
      </w:r>
      <w:r w:rsidRPr="00464420">
        <w:rPr>
          <w:rFonts w:ascii="Verdana" w:hAnsi="Verdana" w:cs="Arial"/>
          <w:sz w:val="19"/>
          <w:szCs w:val="19"/>
        </w:rPr>
        <w:t xml:space="preserve">. </w:t>
      </w:r>
      <w:r w:rsidR="00EE50E8">
        <w:rPr>
          <w:rFonts w:ascii="Verdana" w:hAnsi="Verdana" w:cs="Arial"/>
          <w:sz w:val="19"/>
          <w:szCs w:val="19"/>
        </w:rPr>
        <w:t xml:space="preserve">We compile data from 131 </w:t>
      </w:r>
      <w:proofErr w:type="spellStart"/>
      <w:r w:rsidR="00EE50E8">
        <w:rPr>
          <w:rFonts w:ascii="Verdana" w:hAnsi="Verdana" w:cs="Arial"/>
          <w:sz w:val="19"/>
          <w:szCs w:val="19"/>
        </w:rPr>
        <w:t>Badan</w:t>
      </w:r>
      <w:proofErr w:type="spellEnd"/>
      <w:r w:rsidR="00EE50E8">
        <w:rPr>
          <w:rFonts w:ascii="Verdana" w:hAnsi="Verdana" w:cs="Arial"/>
          <w:sz w:val="19"/>
          <w:szCs w:val="19"/>
        </w:rPr>
        <w:t xml:space="preserve"> </w:t>
      </w:r>
      <w:proofErr w:type="spellStart"/>
      <w:r w:rsidR="00EE50E8">
        <w:rPr>
          <w:rFonts w:ascii="Verdana" w:hAnsi="Verdana" w:cs="Arial"/>
          <w:sz w:val="19"/>
          <w:szCs w:val="19"/>
        </w:rPr>
        <w:t>Pusat</w:t>
      </w:r>
      <w:proofErr w:type="spellEnd"/>
      <w:r w:rsidR="00EE50E8">
        <w:rPr>
          <w:rFonts w:ascii="Verdana" w:hAnsi="Verdana" w:cs="Arial"/>
          <w:sz w:val="19"/>
          <w:szCs w:val="19"/>
        </w:rPr>
        <w:t xml:space="preserve"> </w:t>
      </w:r>
      <w:proofErr w:type="spellStart"/>
      <w:r w:rsidR="00EE50E8">
        <w:rPr>
          <w:rFonts w:ascii="Verdana" w:hAnsi="Verdana" w:cs="Arial"/>
          <w:sz w:val="19"/>
          <w:szCs w:val="19"/>
        </w:rPr>
        <w:t>Statistik</w:t>
      </w:r>
      <w:proofErr w:type="spellEnd"/>
      <w:r w:rsidR="00EE50E8">
        <w:rPr>
          <w:rFonts w:ascii="Verdana" w:hAnsi="Verdana" w:cs="Arial"/>
          <w:sz w:val="19"/>
          <w:szCs w:val="19"/>
        </w:rPr>
        <w:t xml:space="preserve"> of </w:t>
      </w:r>
      <w:r w:rsidR="00EE50E8" w:rsidRPr="00464420">
        <w:rPr>
          <w:rFonts w:ascii="Verdana" w:hAnsi="Verdana" w:cs="Arial"/>
          <w:sz w:val="19"/>
          <w:szCs w:val="19"/>
        </w:rPr>
        <w:t xml:space="preserve">131 </w:t>
      </w:r>
      <w:r w:rsidR="00EE50E8">
        <w:rPr>
          <w:rFonts w:ascii="Verdana" w:hAnsi="Verdana" w:cs="Arial"/>
          <w:sz w:val="19"/>
          <w:szCs w:val="19"/>
        </w:rPr>
        <w:t>cities/</w:t>
      </w:r>
      <w:r w:rsidR="00EE50E8" w:rsidRPr="00464420">
        <w:rPr>
          <w:rFonts w:ascii="Verdana" w:hAnsi="Verdana" w:cs="Arial"/>
          <w:sz w:val="19"/>
          <w:szCs w:val="19"/>
        </w:rPr>
        <w:t>districts</w:t>
      </w:r>
      <w:r w:rsidR="00EE50E8">
        <w:rPr>
          <w:rFonts w:ascii="Verdana" w:hAnsi="Verdana" w:cs="Arial"/>
          <w:sz w:val="19"/>
          <w:szCs w:val="19"/>
        </w:rPr>
        <w:t xml:space="preserve">. </w:t>
      </w:r>
      <w:r w:rsidR="004609FD">
        <w:rPr>
          <w:rFonts w:ascii="Verdana" w:hAnsi="Verdana" w:cs="Arial"/>
          <w:sz w:val="19"/>
          <w:szCs w:val="19"/>
        </w:rPr>
        <w:t>We used m</w:t>
      </w:r>
      <w:r w:rsidR="00730138" w:rsidRPr="00464420">
        <w:rPr>
          <w:rFonts w:ascii="Verdana" w:hAnsi="Verdana" w:cs="Arial"/>
          <w:sz w:val="19"/>
          <w:szCs w:val="19"/>
        </w:rPr>
        <w:t xml:space="preserve">ultiple linear regression method </w:t>
      </w:r>
      <w:r w:rsidR="00762AE6" w:rsidRPr="00464420">
        <w:rPr>
          <w:rFonts w:ascii="Verdana" w:hAnsi="Verdana" w:cs="Arial"/>
          <w:sz w:val="19"/>
          <w:szCs w:val="19"/>
        </w:rPr>
        <w:t>with</w:t>
      </w:r>
      <w:r w:rsidR="00730138" w:rsidRPr="00464420">
        <w:rPr>
          <w:rFonts w:ascii="Verdana" w:hAnsi="Verdana" w:cs="Arial"/>
          <w:sz w:val="19"/>
          <w:szCs w:val="19"/>
        </w:rPr>
        <w:t xml:space="preserve"> robust</w:t>
      </w:r>
      <w:r w:rsidR="00762AE6" w:rsidRPr="00464420">
        <w:rPr>
          <w:rFonts w:ascii="Verdana" w:hAnsi="Verdana" w:cs="Arial"/>
          <w:sz w:val="19"/>
          <w:szCs w:val="19"/>
        </w:rPr>
        <w:t xml:space="preserve"> standard errors</w:t>
      </w:r>
      <w:r w:rsidR="00730138" w:rsidRPr="00464420">
        <w:rPr>
          <w:rFonts w:ascii="Verdana" w:hAnsi="Verdana" w:cs="Arial"/>
          <w:sz w:val="19"/>
          <w:szCs w:val="19"/>
        </w:rPr>
        <w:t xml:space="preserve">. </w:t>
      </w:r>
      <w:r w:rsidR="004609FD">
        <w:rPr>
          <w:rFonts w:ascii="Verdana" w:hAnsi="Verdana" w:cs="Arial"/>
          <w:sz w:val="19"/>
          <w:szCs w:val="19"/>
        </w:rPr>
        <w:t>M</w:t>
      </w:r>
      <w:r w:rsidR="00730138" w:rsidRPr="00464420">
        <w:rPr>
          <w:rFonts w:ascii="Verdana" w:hAnsi="Verdana" w:cs="Arial"/>
          <w:sz w:val="19"/>
          <w:szCs w:val="19"/>
        </w:rPr>
        <w:t>ultiple regression analysis allows us to explicitly control for factors that affect the dependent variable</w:t>
      </w:r>
      <w:r w:rsidR="004609FD">
        <w:rPr>
          <w:rFonts w:ascii="Verdana" w:hAnsi="Verdana" w:cs="Arial"/>
          <w:sz w:val="19"/>
          <w:szCs w:val="19"/>
        </w:rPr>
        <w:t xml:space="preserve"> </w:t>
      </w:r>
      <w:r w:rsidR="004609FD">
        <w:rPr>
          <w:rFonts w:ascii="Verdana" w:hAnsi="Verdana" w:cs="Arial"/>
          <w:sz w:val="19"/>
          <w:szCs w:val="19"/>
        </w:rPr>
        <w:fldChar w:fldCharType="begin" w:fldLock="1"/>
      </w:r>
      <w:r w:rsidR="004C7B3B">
        <w:rPr>
          <w:rFonts w:ascii="Verdana" w:hAnsi="Verdana" w:cs="Arial"/>
          <w:sz w:val="19"/>
          <w:szCs w:val="19"/>
        </w:rPr>
        <w:instrText>ADDIN CSL_CITATION {"citationItems":[{"id":"ITEM-1","itemData":{"DOI":"10.1017/CBO9781107415324.004","ISBN":"9788578110796","ISSN":"1098-6596","PMID":"25246403","author":[{"dropping-particle":"","family":"Wooldridge","given":"","non-dropping-particle":"","parse-names":false,"suffix":""}],"id":"ITEM-1","issued":{"date-parts":[["2015"]]},"title":"Introductory Econometrics","type":"book","volume":"1"},"uris":["http://www.mendeley.com/documents/?uuid=761e54ec-e362-446c-93fe-742e544caa61"]}],"mendeley":{"formattedCitation":"(Wooldridge, 2015)","plainTextFormattedCitation":"(Wooldridge, 2015)","previouslyFormattedCitation":"(Wooldridge, 2015)"},"properties":{"noteIndex":0},"schema":"https://github.com/citation-style-language/schema/raw/master/csl-citation.json"}</w:instrText>
      </w:r>
      <w:r w:rsidR="004609FD">
        <w:rPr>
          <w:rFonts w:ascii="Verdana" w:hAnsi="Verdana" w:cs="Arial"/>
          <w:sz w:val="19"/>
          <w:szCs w:val="19"/>
        </w:rPr>
        <w:fldChar w:fldCharType="separate"/>
      </w:r>
      <w:r w:rsidR="004609FD" w:rsidRPr="004609FD">
        <w:rPr>
          <w:rFonts w:ascii="Verdana" w:hAnsi="Verdana" w:cs="Arial"/>
          <w:noProof/>
          <w:sz w:val="19"/>
          <w:szCs w:val="19"/>
        </w:rPr>
        <w:t>(Wooldridge, 2015)</w:t>
      </w:r>
      <w:r w:rsidR="004609FD">
        <w:rPr>
          <w:rFonts w:ascii="Verdana" w:hAnsi="Verdana" w:cs="Arial"/>
          <w:sz w:val="19"/>
          <w:szCs w:val="19"/>
        </w:rPr>
        <w:fldChar w:fldCharType="end"/>
      </w:r>
      <w:r w:rsidR="00730138" w:rsidRPr="00464420">
        <w:rPr>
          <w:rFonts w:ascii="Verdana" w:hAnsi="Verdana" w:cs="Arial"/>
          <w:sz w:val="19"/>
          <w:szCs w:val="19"/>
        </w:rPr>
        <w:t xml:space="preserve">. The general multiple linear regression </w:t>
      </w:r>
      <w:proofErr w:type="gramStart"/>
      <w:r w:rsidR="00F456E4" w:rsidRPr="00464420">
        <w:rPr>
          <w:rFonts w:ascii="Verdana" w:hAnsi="Verdana" w:cs="Arial"/>
          <w:sz w:val="19"/>
          <w:szCs w:val="19"/>
        </w:rPr>
        <w:t>model</w:t>
      </w:r>
      <w:proofErr w:type="gramEnd"/>
      <w:r w:rsidR="00730138" w:rsidRPr="00464420">
        <w:rPr>
          <w:rFonts w:ascii="Verdana" w:hAnsi="Verdana" w:cs="Arial"/>
          <w:sz w:val="19"/>
          <w:szCs w:val="19"/>
        </w:rPr>
        <w:t xml:space="preserve"> can be written as</w:t>
      </w:r>
    </w:p>
    <w:p w14:paraId="4604DD28" w14:textId="77777777" w:rsidR="00730138" w:rsidRPr="00464420" w:rsidRDefault="00B466A7" w:rsidP="00730138">
      <w:pPr>
        <w:spacing w:beforeLines="80" w:before="192" w:after="0"/>
        <w:ind w:firstLine="709"/>
        <w:rPr>
          <w:rFonts w:ascii="Verdana" w:eastAsiaTheme="minorEastAsia" w:hAnsi="Verdana" w:cs="Arial"/>
          <w:b/>
          <w:sz w:val="19"/>
          <w:szCs w:val="19"/>
        </w:rPr>
      </w:pPr>
      <m:oMathPara>
        <m:oMath>
          <m:r>
            <m:rPr>
              <m:sty m:val="bi"/>
            </m:rPr>
            <w:rPr>
              <w:rFonts w:ascii="Cambria Math" w:hAnsi="Cambria Math" w:cs="Arial"/>
              <w:sz w:val="19"/>
              <w:szCs w:val="19"/>
            </w:rPr>
            <m:t>y=</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0</m:t>
              </m:r>
            </m:sub>
          </m:sSub>
          <m:r>
            <m:rPr>
              <m:sty m:val="bi"/>
            </m:rPr>
            <w:rPr>
              <w:rFonts w:ascii="Cambria Math" w:hAnsi="Cambria Math" w:cs="Arial"/>
              <w:sz w:val="19"/>
              <w:szCs w:val="19"/>
            </w:rPr>
            <m: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1</m:t>
              </m:r>
            </m:sub>
          </m:sSub>
          <m:sSub>
            <m:sSubPr>
              <m:ctrlPr>
                <w:rPr>
                  <w:rFonts w:ascii="Cambria Math" w:hAnsi="Cambria Math" w:cs="Arial"/>
                  <w:b/>
                  <w:i/>
                  <w:sz w:val="19"/>
                  <w:szCs w:val="19"/>
                </w:rPr>
              </m:ctrlPr>
            </m:sSubPr>
            <m:e>
              <m:r>
                <m:rPr>
                  <m:sty m:val="bi"/>
                </m:rPr>
                <w:rPr>
                  <w:rFonts w:ascii="Cambria Math" w:hAnsi="Cambria Math" w:cs="Arial"/>
                  <w:sz w:val="19"/>
                  <w:szCs w:val="19"/>
                </w:rPr>
                <m:t>x</m:t>
              </m:r>
            </m:e>
            <m:sub>
              <m:r>
                <m:rPr>
                  <m:sty m:val="bi"/>
                </m:rPr>
                <w:rPr>
                  <w:rFonts w:ascii="Cambria Math" w:hAnsi="Cambria Math" w:cs="Arial"/>
                  <w:sz w:val="19"/>
                  <w:szCs w:val="19"/>
                </w:rPr>
                <m:t>1</m:t>
              </m:r>
            </m:sub>
          </m:sSub>
          <m:r>
            <m:rPr>
              <m:sty m:val="bi"/>
            </m:rPr>
            <w:rPr>
              <w:rFonts w:ascii="Cambria Math" w:hAnsi="Cambria Math" w:cs="Arial"/>
              <w:sz w:val="19"/>
              <w:szCs w:val="19"/>
            </w:rPr>
            <m: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2</m:t>
              </m:r>
            </m:sub>
          </m:sSub>
          <m:sSub>
            <m:sSubPr>
              <m:ctrlPr>
                <w:rPr>
                  <w:rFonts w:ascii="Cambria Math" w:hAnsi="Cambria Math" w:cs="Arial"/>
                  <w:b/>
                  <w:i/>
                  <w:sz w:val="19"/>
                  <w:szCs w:val="19"/>
                </w:rPr>
              </m:ctrlPr>
            </m:sSubPr>
            <m:e>
              <m:r>
                <m:rPr>
                  <m:sty m:val="bi"/>
                </m:rPr>
                <w:rPr>
                  <w:rFonts w:ascii="Cambria Math" w:hAnsi="Cambria Math" w:cs="Arial"/>
                  <w:sz w:val="19"/>
                  <w:szCs w:val="19"/>
                </w:rPr>
                <m:t>x</m:t>
              </m:r>
            </m:e>
            <m:sub>
              <m:r>
                <m:rPr>
                  <m:sty m:val="bi"/>
                </m:rPr>
                <w:rPr>
                  <w:rFonts w:ascii="Cambria Math" w:hAnsi="Cambria Math" w:cs="Arial"/>
                  <w:sz w:val="19"/>
                  <w:szCs w:val="19"/>
                </w:rPr>
                <m:t>2</m:t>
              </m:r>
            </m:sub>
          </m:sSub>
          <m:r>
            <m:rPr>
              <m:sty m:val="bi"/>
            </m:rPr>
            <w:rPr>
              <w:rFonts w:ascii="Cambria Math" w:hAnsi="Cambria Math" w:cs="Arial"/>
              <w:sz w:val="19"/>
              <w:szCs w:val="19"/>
            </w:rPr>
            <m: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3</m:t>
              </m:r>
            </m:sub>
          </m:sSub>
          <m:sSub>
            <m:sSubPr>
              <m:ctrlPr>
                <w:rPr>
                  <w:rFonts w:ascii="Cambria Math" w:hAnsi="Cambria Math" w:cs="Arial"/>
                  <w:b/>
                  <w:i/>
                  <w:sz w:val="19"/>
                  <w:szCs w:val="19"/>
                </w:rPr>
              </m:ctrlPr>
            </m:sSubPr>
            <m:e>
              <m:r>
                <m:rPr>
                  <m:sty m:val="bi"/>
                </m:rPr>
                <w:rPr>
                  <w:rFonts w:ascii="Cambria Math" w:hAnsi="Cambria Math" w:cs="Arial"/>
                  <w:sz w:val="19"/>
                  <w:szCs w:val="19"/>
                </w:rPr>
                <m:t>x</m:t>
              </m:r>
            </m:e>
            <m:sub>
              <m:r>
                <m:rPr>
                  <m:sty m:val="bi"/>
                </m:rPr>
                <w:rPr>
                  <w:rFonts w:ascii="Cambria Math" w:hAnsi="Cambria Math" w:cs="Arial"/>
                  <w:sz w:val="19"/>
                  <w:szCs w:val="19"/>
                </w:rPr>
                <m:t>3</m:t>
              </m:r>
            </m:sub>
          </m:sSub>
          <m:r>
            <m:rPr>
              <m:sty m:val="bi"/>
            </m:rPr>
            <w:rPr>
              <w:rFonts w:ascii="Cambria Math" w:hAnsi="Cambria Math" w:cs="Arial"/>
              <w:sz w:val="19"/>
              <w:szCs w:val="19"/>
            </w:rPr>
            <m:t>+</m:t>
          </m:r>
          <m:r>
            <m:rPr>
              <m:sty m:val="bi"/>
            </m:rPr>
            <w:rPr>
              <w:rFonts w:ascii="Cambria Math" w:eastAsiaTheme="minorEastAsia" w:hAnsi="Cambria Math" w:cs="Arial"/>
              <w:sz w:val="19"/>
              <w:szCs w:val="19"/>
            </w:rPr>
            <m: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k</m:t>
              </m:r>
            </m:sub>
          </m:sSub>
          <m:sSub>
            <m:sSubPr>
              <m:ctrlPr>
                <w:rPr>
                  <w:rFonts w:ascii="Cambria Math" w:hAnsi="Cambria Math" w:cs="Arial"/>
                  <w:b/>
                  <w:i/>
                  <w:sz w:val="19"/>
                  <w:szCs w:val="19"/>
                </w:rPr>
              </m:ctrlPr>
            </m:sSubPr>
            <m:e>
              <m:r>
                <m:rPr>
                  <m:sty m:val="bi"/>
                </m:rPr>
                <w:rPr>
                  <w:rFonts w:ascii="Cambria Math" w:hAnsi="Cambria Math" w:cs="Arial"/>
                  <w:sz w:val="19"/>
                  <w:szCs w:val="19"/>
                </w:rPr>
                <m:t>x</m:t>
              </m:r>
            </m:e>
            <m:sub>
              <m:r>
                <m:rPr>
                  <m:sty m:val="bi"/>
                </m:rPr>
                <w:rPr>
                  <w:rFonts w:ascii="Cambria Math" w:hAnsi="Cambria Math" w:cs="Arial"/>
                  <w:sz w:val="19"/>
                  <w:szCs w:val="19"/>
                </w:rPr>
                <m:t>k</m:t>
              </m:r>
            </m:sub>
          </m:sSub>
          <m:r>
            <m:rPr>
              <m:sty m:val="bi"/>
            </m:rPr>
            <w:rPr>
              <w:rFonts w:ascii="Cambria Math" w:hAnsi="Cambria Math" w:cs="Arial"/>
              <w:sz w:val="19"/>
              <w:szCs w:val="19"/>
            </w:rPr>
            <m:t>+u</m:t>
          </m:r>
        </m:oMath>
      </m:oMathPara>
    </w:p>
    <w:p w14:paraId="43A5147C" w14:textId="3FD3E08A" w:rsidR="00730138" w:rsidRPr="00464420" w:rsidRDefault="00073A85" w:rsidP="000D18A9">
      <w:pPr>
        <w:spacing w:beforeLines="80" w:before="192" w:after="0"/>
        <w:ind w:firstLine="709"/>
        <w:jc w:val="both"/>
        <w:rPr>
          <w:rFonts w:ascii="Verdana" w:eastAsiaTheme="minorEastAsia" w:hAnsi="Verdana" w:cs="Arial"/>
          <w:sz w:val="19"/>
          <w:szCs w:val="19"/>
        </w:rPr>
      </w:pPr>
      <w:r w:rsidRPr="00464420">
        <w:rPr>
          <w:rFonts w:ascii="Verdana" w:eastAsiaTheme="minorEastAsia" w:hAnsi="Verdana" w:cs="Arial"/>
          <w:sz w:val="19"/>
          <w:szCs w:val="19"/>
        </w:rPr>
        <w:t>Where</w:t>
      </w:r>
      <w:r w:rsidR="00730138" w:rsidRPr="00464420">
        <w:rPr>
          <w:rFonts w:ascii="Verdana" w:eastAsiaTheme="minorEastAsia" w:hAnsi="Verdana" w:cs="Arial"/>
          <w:sz w:val="19"/>
          <w:szCs w:val="19"/>
        </w:rPr>
        <w:t xml:space="preserve"> </w:t>
      </w:r>
      <m:oMath>
        <m:sSub>
          <m:sSubPr>
            <m:ctrlPr>
              <w:rPr>
                <w:rFonts w:ascii="Cambria Math" w:hAnsi="Cambria Math" w:cs="Arial"/>
                <w:i/>
                <w:sz w:val="19"/>
                <w:szCs w:val="19"/>
              </w:rPr>
            </m:ctrlPr>
          </m:sSubPr>
          <m:e>
            <m:r>
              <w:rPr>
                <w:rFonts w:ascii="Cambria Math" w:hAnsi="Cambria Math" w:cs="Arial"/>
                <w:sz w:val="19"/>
                <w:szCs w:val="19"/>
              </w:rPr>
              <m:t>β</m:t>
            </m:r>
          </m:e>
          <m:sub>
            <m:r>
              <w:rPr>
                <w:rFonts w:ascii="Cambria Math" w:hAnsi="Cambria Math" w:cs="Arial"/>
                <w:sz w:val="19"/>
                <w:szCs w:val="19"/>
              </w:rPr>
              <m:t>0</m:t>
            </m:r>
          </m:sub>
        </m:sSub>
      </m:oMath>
      <w:r w:rsidR="00730138" w:rsidRPr="00464420">
        <w:rPr>
          <w:rFonts w:ascii="Verdana" w:eastAsiaTheme="minorEastAsia" w:hAnsi="Verdana" w:cs="Arial"/>
          <w:sz w:val="19"/>
          <w:szCs w:val="19"/>
        </w:rPr>
        <w:t xml:space="preserve"> is the intercept, </w:t>
      </w:r>
      <m:oMath>
        <m:sSub>
          <m:sSubPr>
            <m:ctrlPr>
              <w:rPr>
                <w:rFonts w:ascii="Cambria Math" w:hAnsi="Cambria Math" w:cs="Arial"/>
                <w:i/>
                <w:sz w:val="19"/>
                <w:szCs w:val="19"/>
              </w:rPr>
            </m:ctrlPr>
          </m:sSubPr>
          <m:e>
            <m:r>
              <w:rPr>
                <w:rFonts w:ascii="Cambria Math" w:hAnsi="Cambria Math" w:cs="Arial"/>
                <w:sz w:val="19"/>
                <w:szCs w:val="19"/>
              </w:rPr>
              <m:t>β</m:t>
            </m:r>
          </m:e>
          <m:sub>
            <m:r>
              <w:rPr>
                <w:rFonts w:ascii="Cambria Math" w:hAnsi="Cambria Math" w:cs="Arial"/>
                <w:sz w:val="19"/>
                <w:szCs w:val="19"/>
              </w:rPr>
              <m:t>1</m:t>
            </m:r>
          </m:sub>
        </m:sSub>
      </m:oMath>
      <w:r w:rsidR="00730138" w:rsidRPr="00464420">
        <w:rPr>
          <w:rFonts w:ascii="Verdana" w:eastAsiaTheme="minorEastAsia" w:hAnsi="Verdana" w:cs="Arial"/>
          <w:sz w:val="19"/>
          <w:szCs w:val="19"/>
        </w:rPr>
        <w:t xml:space="preserve"> is the parameter associated with</w:t>
      </w:r>
      <w:r w:rsidR="00F12641" w:rsidRPr="00464420">
        <w:rPr>
          <w:rFonts w:ascii="Verdana" w:eastAsiaTheme="minorEastAsia" w:hAnsi="Verdana" w:cs="Arial"/>
          <w:sz w:val="19"/>
          <w:szCs w:val="19"/>
        </w:rPr>
        <w:t xml:space="preserve"> X</w:t>
      </w:r>
      <w:r w:rsidR="00F12641" w:rsidRPr="00464420">
        <w:rPr>
          <w:rFonts w:ascii="Verdana" w:eastAsiaTheme="minorEastAsia" w:hAnsi="Verdana" w:cs="Arial"/>
          <w:sz w:val="19"/>
          <w:szCs w:val="19"/>
          <w:vertAlign w:val="subscript"/>
        </w:rPr>
        <w:t>1</w:t>
      </w:r>
      <w:r w:rsidR="00730138" w:rsidRPr="00464420">
        <w:rPr>
          <w:rFonts w:ascii="Verdana" w:eastAsiaTheme="minorEastAsia" w:hAnsi="Verdana" w:cs="Arial"/>
          <w:sz w:val="19"/>
          <w:szCs w:val="19"/>
        </w:rPr>
        <w:t xml:space="preserve">, </w:t>
      </w:r>
      <m:oMath>
        <m:sSub>
          <m:sSubPr>
            <m:ctrlPr>
              <w:rPr>
                <w:rFonts w:ascii="Cambria Math" w:hAnsi="Cambria Math" w:cs="Arial"/>
                <w:i/>
                <w:sz w:val="19"/>
                <w:szCs w:val="19"/>
              </w:rPr>
            </m:ctrlPr>
          </m:sSubPr>
          <m:e>
            <m:r>
              <w:rPr>
                <w:rFonts w:ascii="Cambria Math" w:hAnsi="Cambria Math" w:cs="Arial"/>
                <w:sz w:val="19"/>
                <w:szCs w:val="19"/>
              </w:rPr>
              <m:t>β</m:t>
            </m:r>
          </m:e>
          <m:sub>
            <m:r>
              <w:rPr>
                <w:rFonts w:ascii="Cambria Math" w:hAnsi="Cambria Math" w:cs="Arial"/>
                <w:sz w:val="19"/>
                <w:szCs w:val="19"/>
              </w:rPr>
              <m:t>2</m:t>
            </m:r>
          </m:sub>
        </m:sSub>
      </m:oMath>
      <w:r w:rsidR="00730138" w:rsidRPr="00464420">
        <w:rPr>
          <w:rFonts w:ascii="Verdana" w:eastAsiaTheme="minorEastAsia" w:hAnsi="Verdana" w:cs="Arial"/>
          <w:sz w:val="19"/>
          <w:szCs w:val="19"/>
        </w:rPr>
        <w:t xml:space="preserve"> is the parameter associated with</w:t>
      </w:r>
      <w:r w:rsidR="00F12641" w:rsidRPr="00464420">
        <w:rPr>
          <w:rFonts w:ascii="Verdana" w:eastAsiaTheme="minorEastAsia" w:hAnsi="Verdana" w:cs="Arial"/>
          <w:sz w:val="19"/>
          <w:szCs w:val="19"/>
        </w:rPr>
        <w:t xml:space="preserve"> X</w:t>
      </w:r>
      <w:r w:rsidR="00F12641" w:rsidRPr="00464420">
        <w:rPr>
          <w:rFonts w:ascii="Verdana" w:eastAsiaTheme="minorEastAsia" w:hAnsi="Verdana" w:cs="Arial"/>
          <w:sz w:val="19"/>
          <w:szCs w:val="19"/>
          <w:vertAlign w:val="subscript"/>
        </w:rPr>
        <w:t>2</w:t>
      </w:r>
      <w:r w:rsidR="00730138" w:rsidRPr="00464420">
        <w:rPr>
          <w:rFonts w:ascii="Verdana" w:eastAsiaTheme="minorEastAsia" w:hAnsi="Verdana" w:cs="Arial"/>
          <w:sz w:val="19"/>
          <w:szCs w:val="19"/>
        </w:rPr>
        <w:t>, and so on. Meanwhile</w:t>
      </w:r>
      <w:r w:rsidR="004609FD">
        <w:rPr>
          <w:rFonts w:ascii="Verdana" w:eastAsiaTheme="minorEastAsia" w:hAnsi="Verdana" w:cs="Arial"/>
          <w:sz w:val="19"/>
          <w:szCs w:val="19"/>
        </w:rPr>
        <w:t>,</w:t>
      </w:r>
      <w:r w:rsidR="00730138" w:rsidRPr="00464420">
        <w:rPr>
          <w:rFonts w:ascii="Verdana" w:eastAsiaTheme="minorEastAsia" w:hAnsi="Verdana" w:cs="Arial"/>
          <w:sz w:val="19"/>
          <w:szCs w:val="19"/>
        </w:rPr>
        <w:t xml:space="preserve"> </w:t>
      </w:r>
      <m:oMath>
        <m:r>
          <w:rPr>
            <w:rFonts w:ascii="Cambria Math" w:hAnsi="Cambria Math" w:cs="Arial"/>
            <w:sz w:val="19"/>
            <w:szCs w:val="19"/>
          </w:rPr>
          <m:t>u</m:t>
        </m:r>
      </m:oMath>
      <w:r w:rsidR="00730138" w:rsidRPr="00464420">
        <w:rPr>
          <w:rFonts w:ascii="Verdana" w:eastAsiaTheme="minorEastAsia" w:hAnsi="Verdana" w:cs="Arial"/>
          <w:sz w:val="19"/>
          <w:szCs w:val="19"/>
        </w:rPr>
        <w:t xml:space="preserve"> is the error term or disturbance, containing factors that affect y other </w:t>
      </w:r>
      <w:proofErr w:type="gramStart"/>
      <w:r w:rsidR="00730138" w:rsidRPr="00464420">
        <w:rPr>
          <w:rFonts w:ascii="Verdana" w:eastAsiaTheme="minorEastAsia" w:hAnsi="Verdana" w:cs="Arial"/>
          <w:sz w:val="19"/>
          <w:szCs w:val="19"/>
        </w:rPr>
        <w:t xml:space="preserve">than </w:t>
      </w:r>
      <w:proofErr w:type="gramEnd"/>
      <m:oMath>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1</m:t>
            </m:r>
          </m:sub>
        </m:sSub>
      </m:oMath>
      <w:r w:rsidR="00730138" w:rsidRPr="00464420">
        <w:rPr>
          <w:rFonts w:ascii="Verdana" w:eastAsiaTheme="minorEastAsia" w:hAnsi="Verdana" w:cs="Arial"/>
          <w:sz w:val="19"/>
          <w:szCs w:val="19"/>
        </w:rPr>
        <w:t xml:space="preserve">, </w:t>
      </w:r>
      <m:oMath>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2</m:t>
            </m:r>
          </m:sub>
        </m:sSub>
      </m:oMath>
      <w:r w:rsidR="00730138" w:rsidRPr="00464420">
        <w:rPr>
          <w:rFonts w:ascii="Verdana" w:eastAsiaTheme="minorEastAsia" w:hAnsi="Verdana" w:cs="Arial"/>
          <w:sz w:val="19"/>
          <w:szCs w:val="19"/>
        </w:rPr>
        <w:t>,…,</w:t>
      </w:r>
      <m:oMath>
        <m:r>
          <w:rPr>
            <w:rFonts w:ascii="Cambria Math" w:hAnsi="Cambria Math" w:cs="Arial"/>
            <w:sz w:val="19"/>
            <w:szCs w:val="19"/>
          </w:rPr>
          <m:t xml:space="preserve"> </m:t>
        </m:r>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k</m:t>
            </m:r>
          </m:sub>
        </m:sSub>
      </m:oMath>
      <w:r w:rsidR="00730138" w:rsidRPr="00464420">
        <w:rPr>
          <w:rFonts w:ascii="Verdana" w:eastAsiaTheme="minorEastAsia" w:hAnsi="Verdana" w:cs="Arial"/>
          <w:sz w:val="19"/>
          <w:szCs w:val="19"/>
        </w:rPr>
        <w:t>.</w:t>
      </w:r>
    </w:p>
    <w:p w14:paraId="2F0FA16E" w14:textId="77777777" w:rsidR="00730138" w:rsidRPr="00464420" w:rsidRDefault="00730138" w:rsidP="000D18A9">
      <w:pPr>
        <w:spacing w:beforeLines="80" w:before="192" w:after="0"/>
        <w:ind w:firstLine="709"/>
        <w:jc w:val="both"/>
        <w:rPr>
          <w:rFonts w:ascii="Verdana" w:eastAsiaTheme="minorEastAsia" w:hAnsi="Verdana" w:cs="Arial"/>
          <w:sz w:val="19"/>
          <w:szCs w:val="19"/>
        </w:rPr>
      </w:pPr>
      <w:r w:rsidRPr="00464420">
        <w:rPr>
          <w:rFonts w:ascii="Verdana" w:eastAsiaTheme="minorEastAsia" w:hAnsi="Verdana" w:cs="Arial"/>
          <w:sz w:val="19"/>
          <w:szCs w:val="19"/>
        </w:rPr>
        <w:t xml:space="preserve">For the general multiple regression </w:t>
      </w:r>
      <w:proofErr w:type="gramStart"/>
      <w:r w:rsidRPr="00464420">
        <w:rPr>
          <w:rFonts w:ascii="Verdana" w:eastAsiaTheme="minorEastAsia" w:hAnsi="Verdana" w:cs="Arial"/>
          <w:sz w:val="19"/>
          <w:szCs w:val="19"/>
        </w:rPr>
        <w:t>model</w:t>
      </w:r>
      <w:proofErr w:type="gramEnd"/>
      <w:r w:rsidRPr="00464420">
        <w:rPr>
          <w:rFonts w:ascii="Verdana" w:eastAsiaTheme="minorEastAsia" w:hAnsi="Verdana" w:cs="Arial"/>
          <w:sz w:val="19"/>
          <w:szCs w:val="19"/>
        </w:rPr>
        <w:t>, the key assumption is as follows</w:t>
      </w:r>
    </w:p>
    <w:p w14:paraId="05B0BE46" w14:textId="77777777" w:rsidR="00730138" w:rsidRPr="00464420" w:rsidRDefault="00730138" w:rsidP="000D18A9">
      <w:pPr>
        <w:spacing w:beforeLines="80" w:before="192" w:after="0"/>
        <w:ind w:firstLine="709"/>
        <w:jc w:val="both"/>
        <w:rPr>
          <w:rFonts w:ascii="Verdana" w:eastAsiaTheme="minorEastAsia" w:hAnsi="Verdana" w:cs="Arial"/>
          <w:sz w:val="19"/>
          <w:szCs w:val="19"/>
        </w:rPr>
      </w:pPr>
      <m:oMathPara>
        <m:oMath>
          <m:r>
            <w:rPr>
              <w:rFonts w:ascii="Cambria Math" w:hAnsi="Cambria Math" w:cs="Arial"/>
              <w:sz w:val="19"/>
              <w:szCs w:val="19"/>
            </w:rPr>
            <m:t>E</m:t>
          </m:r>
          <m:d>
            <m:dPr>
              <m:ctrlPr>
                <w:rPr>
                  <w:rFonts w:ascii="Cambria Math" w:hAnsi="Cambria Math" w:cs="Arial"/>
                  <w:i/>
                  <w:sz w:val="19"/>
                  <w:szCs w:val="19"/>
                </w:rPr>
              </m:ctrlPr>
            </m:dPr>
            <m:e>
              <m:r>
                <w:rPr>
                  <w:rFonts w:ascii="Cambria Math" w:hAnsi="Cambria Math" w:cs="Arial"/>
                  <w:sz w:val="19"/>
                  <w:szCs w:val="19"/>
                </w:rPr>
                <m:t>u</m:t>
              </m:r>
            </m:e>
            <m:e>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1</m:t>
                  </m:r>
                </m:sub>
              </m:sSub>
              <m:r>
                <w:rPr>
                  <w:rFonts w:ascii="Cambria Math" w:hAnsi="Cambria Math" w:cs="Arial"/>
                  <w:sz w:val="19"/>
                  <w:szCs w:val="19"/>
                </w:rPr>
                <m:t xml:space="preserve">, </m:t>
              </m:r>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2</m:t>
                  </m:r>
                </m:sub>
              </m:sSub>
              <m:r>
                <w:rPr>
                  <w:rFonts w:ascii="Cambria Math" w:hAnsi="Cambria Math" w:cs="Arial"/>
                  <w:sz w:val="19"/>
                  <w:szCs w:val="19"/>
                </w:rPr>
                <m:t>,…,</m:t>
              </m:r>
              <m:sSub>
                <m:sSubPr>
                  <m:ctrlPr>
                    <w:rPr>
                      <w:rFonts w:ascii="Cambria Math" w:hAnsi="Cambria Math" w:cs="Arial"/>
                      <w:i/>
                      <w:sz w:val="19"/>
                      <w:szCs w:val="19"/>
                    </w:rPr>
                  </m:ctrlPr>
                </m:sSubPr>
                <m:e>
                  <m:r>
                    <w:rPr>
                      <w:rFonts w:ascii="Cambria Math" w:hAnsi="Cambria Math" w:cs="Arial"/>
                      <w:sz w:val="19"/>
                      <w:szCs w:val="19"/>
                    </w:rPr>
                    <m:t>x</m:t>
                  </m:r>
                </m:e>
                <m:sub>
                  <m:r>
                    <w:rPr>
                      <w:rFonts w:ascii="Cambria Math" w:hAnsi="Cambria Math" w:cs="Arial"/>
                      <w:sz w:val="19"/>
                      <w:szCs w:val="19"/>
                    </w:rPr>
                    <m:t>k</m:t>
                  </m:r>
                </m:sub>
              </m:sSub>
            </m:e>
          </m:d>
          <m:r>
            <w:rPr>
              <w:rFonts w:ascii="Cambria Math" w:hAnsi="Cambria Math" w:cs="Arial"/>
              <w:sz w:val="19"/>
              <w:szCs w:val="19"/>
            </w:rPr>
            <m:t>=0</m:t>
          </m:r>
        </m:oMath>
      </m:oMathPara>
    </w:p>
    <w:p w14:paraId="68803794" w14:textId="14B19A0B" w:rsidR="00730138" w:rsidRPr="00464420" w:rsidRDefault="00730138" w:rsidP="00073A85">
      <w:pPr>
        <w:spacing w:beforeLines="80" w:before="192" w:after="0"/>
        <w:rPr>
          <w:rFonts w:ascii="Verdana" w:eastAsiaTheme="minorEastAsia" w:hAnsi="Verdana" w:cs="Arial"/>
          <w:sz w:val="19"/>
          <w:szCs w:val="19"/>
        </w:rPr>
      </w:pPr>
      <w:r w:rsidRPr="00464420">
        <w:rPr>
          <w:rFonts w:ascii="Verdana" w:eastAsiaTheme="minorEastAsia" w:hAnsi="Verdana" w:cs="Arial"/>
          <w:sz w:val="19"/>
          <w:szCs w:val="19"/>
        </w:rPr>
        <w:t xml:space="preserve">In this study, </w:t>
      </w:r>
      <w:r w:rsidR="004609FD">
        <w:rPr>
          <w:rFonts w:ascii="Verdana" w:eastAsiaTheme="minorEastAsia" w:hAnsi="Verdana" w:cs="Arial"/>
          <w:sz w:val="19"/>
          <w:szCs w:val="19"/>
        </w:rPr>
        <w:t xml:space="preserve">following econometric </w:t>
      </w:r>
      <w:r w:rsidR="00374B61" w:rsidRPr="00464420">
        <w:rPr>
          <w:rFonts w:ascii="Verdana" w:eastAsiaTheme="minorEastAsia" w:hAnsi="Verdana" w:cs="Arial"/>
          <w:sz w:val="19"/>
          <w:szCs w:val="19"/>
        </w:rPr>
        <w:t>model</w:t>
      </w:r>
      <w:r w:rsidR="00F12641" w:rsidRPr="00464420">
        <w:rPr>
          <w:rFonts w:ascii="Verdana" w:eastAsiaTheme="minorEastAsia" w:hAnsi="Verdana" w:cs="Arial"/>
          <w:sz w:val="19"/>
          <w:szCs w:val="19"/>
        </w:rPr>
        <w:t>s</w:t>
      </w:r>
      <w:r w:rsidR="00374B61" w:rsidRPr="00464420">
        <w:rPr>
          <w:rFonts w:ascii="Verdana" w:eastAsiaTheme="minorEastAsia" w:hAnsi="Verdana" w:cs="Arial"/>
          <w:sz w:val="19"/>
          <w:szCs w:val="19"/>
        </w:rPr>
        <w:t xml:space="preserve"> </w:t>
      </w:r>
      <w:r w:rsidR="004609FD">
        <w:rPr>
          <w:rFonts w:ascii="Verdana" w:eastAsiaTheme="minorEastAsia" w:hAnsi="Verdana" w:cs="Arial"/>
          <w:sz w:val="19"/>
          <w:szCs w:val="19"/>
        </w:rPr>
        <w:t xml:space="preserve">were </w:t>
      </w:r>
      <w:r w:rsidR="00374B61" w:rsidRPr="00464420">
        <w:rPr>
          <w:rFonts w:ascii="Verdana" w:eastAsiaTheme="minorEastAsia" w:hAnsi="Verdana" w:cs="Arial"/>
          <w:sz w:val="19"/>
          <w:szCs w:val="19"/>
        </w:rPr>
        <w:t>used</w:t>
      </w:r>
      <w:r w:rsidR="004609FD">
        <w:rPr>
          <w:rFonts w:ascii="Verdana" w:eastAsiaTheme="minorEastAsia" w:hAnsi="Verdana" w:cs="Arial"/>
          <w:sz w:val="19"/>
          <w:szCs w:val="19"/>
        </w:rPr>
        <w:t xml:space="preserve"> for our estimation, with respective type of disease having its own econometric model</w:t>
      </w:r>
      <w:r w:rsidR="00374B61" w:rsidRPr="00464420">
        <w:rPr>
          <w:rFonts w:ascii="Verdana" w:eastAsiaTheme="minorEastAsia" w:hAnsi="Verdana" w:cs="Arial"/>
          <w:sz w:val="19"/>
          <w:szCs w:val="19"/>
        </w:rPr>
        <w:t>:</w:t>
      </w:r>
    </w:p>
    <w:p w14:paraId="19E112CB" w14:textId="5E57071C" w:rsidR="00730138" w:rsidRPr="00464420" w:rsidRDefault="00B466A7" w:rsidP="000D18A9">
      <w:pPr>
        <w:spacing w:beforeLines="80" w:before="192" w:after="0"/>
        <w:ind w:firstLine="709"/>
        <w:jc w:val="both"/>
        <w:rPr>
          <w:rFonts w:ascii="Verdana" w:eastAsiaTheme="minorEastAsia" w:hAnsi="Verdana" w:cs="Arial"/>
          <w:b/>
          <w:sz w:val="19"/>
          <w:szCs w:val="19"/>
        </w:rPr>
      </w:pPr>
      <m:oMathPara>
        <m:oMath>
          <m:r>
            <m:rPr>
              <m:sty m:val="bi"/>
            </m:rPr>
            <w:rPr>
              <w:rFonts w:ascii="Cambria Math" w:hAnsi="Cambria Math" w:cs="Arial"/>
              <w:sz w:val="19"/>
              <w:szCs w:val="19"/>
            </w:rPr>
            <m:t>Dengue/diarrhea/ TB cases =</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0</m:t>
              </m:r>
            </m:sub>
          </m:sSub>
          <m:r>
            <m:rPr>
              <m:sty m:val="bi"/>
            </m:rPr>
            <w:rPr>
              <w:rFonts w:ascii="Cambria Math" w:hAnsi="Cambria Math" w:cs="Arial"/>
              <w:sz w:val="19"/>
              <w:szCs w:val="19"/>
            </w:rPr>
            <m: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1</m:t>
              </m:r>
            </m:sub>
          </m:sSub>
          <m:r>
            <m:rPr>
              <m:sty m:val="bi"/>
            </m:rPr>
            <w:rPr>
              <w:rFonts w:ascii="Cambria Math" w:hAnsi="Cambria Math" w:cs="Arial"/>
              <w:sz w:val="19"/>
              <w:szCs w:val="19"/>
            </w:rPr>
            <m:t>Health budget+</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2</m:t>
              </m:r>
            </m:sub>
          </m:sSub>
          <m:r>
            <m:rPr>
              <m:sty m:val="bi"/>
            </m:rPr>
            <w:rPr>
              <w:rFonts w:ascii="Cambria Math" w:hAnsi="Cambria Math" w:cs="Arial"/>
              <w:sz w:val="19"/>
              <w:szCs w:val="19"/>
            </w:rPr>
            <m:t>Primary Health Care number+</m:t>
          </m:r>
          <m:sSub>
            <m:sSubPr>
              <m:ctrlPr>
                <w:rPr>
                  <w:rFonts w:ascii="Cambria Math" w:hAnsi="Cambria Math" w:cs="Arial"/>
                  <w:b/>
                  <w:i/>
                  <w:sz w:val="19"/>
                  <w:szCs w:val="19"/>
                </w:rPr>
              </m:ctrlPr>
            </m:sSubPr>
            <m:e>
              <m:r>
                <m:rPr>
                  <m:sty m:val="bi"/>
                </m:rPr>
                <w:rPr>
                  <w:rFonts w:ascii="Cambria Math" w:hAnsi="Cambria Math" w:cs="Arial"/>
                  <w:sz w:val="19"/>
                  <w:szCs w:val="19"/>
                </w:rPr>
                <m:t>β</m:t>
              </m:r>
            </m:e>
            <m:sub>
              <m:r>
                <m:rPr>
                  <m:sty m:val="bi"/>
                </m:rPr>
                <w:rPr>
                  <w:rFonts w:ascii="Cambria Math" w:hAnsi="Cambria Math" w:cs="Arial"/>
                  <w:sz w:val="19"/>
                  <w:szCs w:val="19"/>
                </w:rPr>
                <m:t>3</m:t>
              </m:r>
            </m:sub>
          </m:sSub>
          <m:r>
            <m:rPr>
              <m:sty m:val="bi"/>
            </m:rPr>
            <w:rPr>
              <w:rFonts w:ascii="Cambria Math" w:eastAsiaTheme="minorEastAsia" w:hAnsi="Cambria Math" w:cs="Arial"/>
              <w:sz w:val="19"/>
              <w:szCs w:val="19"/>
            </w:rPr>
            <m:t xml:space="preserve">Population density </m:t>
          </m:r>
          <m:r>
            <m:rPr>
              <m:sty m:val="bi"/>
            </m:rPr>
            <w:rPr>
              <w:rFonts w:ascii="Cambria Math" w:hAnsi="Cambria Math" w:cs="Arial"/>
              <w:sz w:val="19"/>
              <w:szCs w:val="19"/>
            </w:rPr>
            <m:t xml:space="preserve">+u  </m:t>
          </m:r>
        </m:oMath>
      </m:oMathPara>
    </w:p>
    <w:p w14:paraId="53C00C6D" w14:textId="7AA250F7" w:rsidR="00730138" w:rsidRPr="00464420" w:rsidRDefault="00730138" w:rsidP="000D18A9">
      <w:pPr>
        <w:spacing w:beforeLines="80" w:before="192" w:after="0"/>
        <w:ind w:firstLine="709"/>
        <w:jc w:val="both"/>
        <w:rPr>
          <w:rFonts w:ascii="Verdana" w:eastAsiaTheme="minorEastAsia" w:hAnsi="Verdana" w:cs="Arial"/>
          <w:sz w:val="19"/>
          <w:szCs w:val="19"/>
        </w:rPr>
      </w:pPr>
      <w:r w:rsidRPr="00464420">
        <w:rPr>
          <w:rFonts w:ascii="Verdana" w:eastAsiaTheme="minorEastAsia" w:hAnsi="Verdana" w:cs="Arial"/>
          <w:sz w:val="19"/>
          <w:szCs w:val="19"/>
        </w:rPr>
        <w:t xml:space="preserve">The OLS estimation in multiple regression are generally affected by outliers, non-normality, </w:t>
      </w:r>
      <w:proofErr w:type="spellStart"/>
      <w:r w:rsidRPr="00464420">
        <w:rPr>
          <w:rFonts w:ascii="Verdana" w:eastAsiaTheme="minorEastAsia" w:hAnsi="Verdana" w:cs="Arial"/>
          <w:sz w:val="19"/>
          <w:szCs w:val="19"/>
        </w:rPr>
        <w:t>mult</w:t>
      </w:r>
      <w:r w:rsidR="00F12641" w:rsidRPr="00464420">
        <w:rPr>
          <w:rFonts w:ascii="Verdana" w:eastAsiaTheme="minorEastAsia" w:hAnsi="Verdana" w:cs="Arial"/>
          <w:sz w:val="19"/>
          <w:szCs w:val="19"/>
        </w:rPr>
        <w:t>icollinearity</w:t>
      </w:r>
      <w:proofErr w:type="spellEnd"/>
      <w:r w:rsidR="00F12641" w:rsidRPr="00464420">
        <w:rPr>
          <w:rFonts w:ascii="Verdana" w:eastAsiaTheme="minorEastAsia" w:hAnsi="Verdana" w:cs="Arial"/>
          <w:sz w:val="19"/>
          <w:szCs w:val="19"/>
        </w:rPr>
        <w:t xml:space="preserve">, and missing data. </w:t>
      </w:r>
      <w:r w:rsidRPr="00464420">
        <w:rPr>
          <w:rFonts w:ascii="Verdana" w:eastAsiaTheme="minorEastAsia" w:hAnsi="Verdana" w:cs="Arial"/>
          <w:sz w:val="19"/>
          <w:szCs w:val="19"/>
        </w:rPr>
        <w:t xml:space="preserve">Robust regressions provide resistant results in spite of outliers by limiting its </w:t>
      </w:r>
      <w:r w:rsidRPr="00464420">
        <w:rPr>
          <w:rFonts w:ascii="Verdana" w:eastAsiaTheme="minorEastAsia" w:hAnsi="Verdana" w:cs="Arial"/>
          <w:sz w:val="19"/>
          <w:szCs w:val="19"/>
        </w:rPr>
        <w:lastRenderedPageBreak/>
        <w:t xml:space="preserve">influence. A robust regression technique fits a model that describes information in the majority of data, implying that it would work well on </w:t>
      </w:r>
      <w:proofErr w:type="spellStart"/>
      <w:r w:rsidRPr="00464420">
        <w:rPr>
          <w:rFonts w:ascii="Verdana" w:eastAsiaTheme="minorEastAsia" w:hAnsi="Verdana" w:cs="Arial"/>
          <w:sz w:val="19"/>
          <w:szCs w:val="19"/>
        </w:rPr>
        <w:t>data</w:t>
      </w:r>
      <w:r w:rsidR="00470354">
        <w:rPr>
          <w:rFonts w:ascii="Verdana" w:eastAsiaTheme="minorEastAsia" w:hAnsi="Verdana" w:cs="Arial"/>
          <w:sz w:val="19"/>
          <w:szCs w:val="19"/>
        </w:rPr>
        <w:t>s</w:t>
      </w:r>
      <w:proofErr w:type="spellEnd"/>
      <w:r w:rsidR="00470354">
        <w:rPr>
          <w:rFonts w:ascii="Verdana" w:eastAsiaTheme="minorEastAsia" w:hAnsi="Verdana" w:cs="Arial"/>
          <w:sz w:val="19"/>
          <w:szCs w:val="19"/>
        </w:rPr>
        <w:t xml:space="preserve"> both with or without outliers</w:t>
      </w:r>
      <w:r w:rsidRPr="00464420">
        <w:rPr>
          <w:rFonts w:ascii="Verdana" w:eastAsiaTheme="minorEastAsia" w:hAnsi="Verdana" w:cs="Arial"/>
          <w:sz w:val="19"/>
          <w:szCs w:val="19"/>
        </w:rPr>
        <w:fldChar w:fldCharType="begin" w:fldLock="1"/>
      </w:r>
      <w:r w:rsidR="00D10A8A">
        <w:rPr>
          <w:rFonts w:ascii="Verdana" w:eastAsiaTheme="minorEastAsia" w:hAnsi="Verdana" w:cs="Arial"/>
          <w:sz w:val="19"/>
          <w:szCs w:val="19"/>
        </w:rPr>
        <w:instrText>ADDIN CSL_CITATION {"citationItems":[{"id":"ITEM-1","itemData":{"abstract":"In classical multiple regression, the ordinary least squares estimation is the best method if assumptions are met to obtain regression weights when analyzing data. However, if the data does not satisfy some of these assumptions, then sample estimates and results can be misleading. Especially, outliers violate the assumption of normally distributed residuals in the least squares regression. The danger of outlying observations, both in the direction of the dependent and explanatory variables, to the least squares regression is that they can have a strong adverse effect on the estimate and they may remain unnoticed. Therefore, statistical techniques that are able to cope with or to detect outlying observations have been developed. Robust regression is an important method for analyzing data that are contaminated with outliers. It can be used to detect outliers and to provide resistant results in the presence of outliers. The purpose of this study is to define behavior of outliers in linear regression and to compare some of robust regression methods via simulation study. The simulation study is used in determining which methods best in all of the linear regression scenarios","author":[{"dropping-particle":"","family":"Alma","given":"Özlem Gürünlü","non-dropping-particle":"","parse-names":false,"suffix":""}],"container-title":"Int. J. Contemp. Math. Sciences","id":"ITEM-1","issue":"9","issued":{"date-parts":[["2011"]]},"page":"409-421","title":"Comparison of Robust Regression Methods in Linear Regression","type":"article-journal","volume":"6"},"uris":["http://www.mendeley.com/documents/?uuid=3055eb1b-21b4-4e0a-bf80-c5a78c205b71","http://www.mendeley.com/documents/?uuid=e5feee85-50f7-481c-9867-d4a817f02fde","http://www.mendeley.com/documents/?uuid=d76b35bb-42af-44e4-adf9-7d78d5cda405","http://www.mendeley.com/documents/?uuid=a49ad3c5-b35c-4e1a-b798-69077b2570d7"]}],"mendeley":{"formattedCitation":"(Alma, 2011)","plainTextFormattedCitation":"(Alma, 2011)","previouslyFormattedCitation":"(Alma, 2011)"},"properties":{"noteIndex":0},"schema":"https://github.com/citation-style-language/schema/raw/master/csl-citation.json"}</w:instrText>
      </w:r>
      <w:r w:rsidRPr="00464420">
        <w:rPr>
          <w:rFonts w:ascii="Verdana" w:eastAsiaTheme="minorEastAsia" w:hAnsi="Verdana" w:cs="Arial"/>
          <w:sz w:val="19"/>
          <w:szCs w:val="19"/>
        </w:rPr>
        <w:fldChar w:fldCharType="separate"/>
      </w:r>
      <w:r w:rsidR="00F167F2" w:rsidRPr="00464420">
        <w:rPr>
          <w:rFonts w:ascii="Verdana" w:eastAsiaTheme="minorEastAsia" w:hAnsi="Verdana" w:cs="Arial"/>
          <w:noProof/>
          <w:sz w:val="19"/>
          <w:szCs w:val="19"/>
        </w:rPr>
        <w:t>(Alma, 2011)</w:t>
      </w:r>
      <w:r w:rsidRPr="00464420">
        <w:rPr>
          <w:rFonts w:ascii="Verdana" w:eastAsiaTheme="minorEastAsia" w:hAnsi="Verdana" w:cs="Arial"/>
          <w:sz w:val="19"/>
          <w:szCs w:val="19"/>
        </w:rPr>
        <w:fldChar w:fldCharType="end"/>
      </w:r>
      <w:r w:rsidRPr="00464420">
        <w:rPr>
          <w:rFonts w:ascii="Verdana" w:eastAsiaTheme="minorEastAsia" w:hAnsi="Verdana" w:cs="Arial"/>
          <w:sz w:val="19"/>
          <w:szCs w:val="19"/>
        </w:rPr>
        <w:t>.</w:t>
      </w:r>
    </w:p>
    <w:p w14:paraId="09A983F3" w14:textId="77777777" w:rsidR="009765B4" w:rsidRPr="00464420" w:rsidRDefault="009765B4" w:rsidP="009765B4">
      <w:pPr>
        <w:pStyle w:val="MIMBAR-Section"/>
        <w:rPr>
          <w:lang w:val="en-US"/>
        </w:rPr>
      </w:pPr>
      <w:r w:rsidRPr="00464420">
        <w:rPr>
          <w:lang w:val="en-US"/>
        </w:rPr>
        <w:t>Result and Discussion</w:t>
      </w:r>
    </w:p>
    <w:p w14:paraId="4737A64B" w14:textId="1A36200B" w:rsidR="009765B4" w:rsidRPr="00464420" w:rsidRDefault="009765B4" w:rsidP="000D18A9">
      <w:pPr>
        <w:spacing w:beforeLines="80" w:before="192" w:after="0"/>
        <w:ind w:firstLine="709"/>
        <w:jc w:val="both"/>
        <w:rPr>
          <w:rFonts w:ascii="Verdana" w:eastAsiaTheme="minorEastAsia" w:hAnsi="Verdana" w:cs="Arial"/>
          <w:sz w:val="19"/>
          <w:szCs w:val="19"/>
        </w:rPr>
      </w:pPr>
      <w:r w:rsidRPr="00464420">
        <w:rPr>
          <w:rFonts w:ascii="Verdana" w:eastAsiaTheme="minorEastAsia" w:hAnsi="Verdana" w:cs="Arial"/>
          <w:sz w:val="19"/>
          <w:szCs w:val="19"/>
        </w:rPr>
        <w:t>The data comprises of 131 districts</w:t>
      </w:r>
      <w:r w:rsidR="00A25594" w:rsidRPr="00464420">
        <w:rPr>
          <w:rFonts w:ascii="Verdana" w:eastAsiaTheme="minorEastAsia" w:hAnsi="Verdana" w:cs="Arial"/>
          <w:sz w:val="19"/>
          <w:szCs w:val="19"/>
        </w:rPr>
        <w:t xml:space="preserve"> in 2016</w:t>
      </w:r>
      <w:r w:rsidRPr="00464420">
        <w:rPr>
          <w:rFonts w:ascii="Verdana" w:eastAsiaTheme="minorEastAsia" w:hAnsi="Verdana" w:cs="Arial"/>
          <w:sz w:val="19"/>
          <w:szCs w:val="19"/>
        </w:rPr>
        <w:t xml:space="preserve">. </w:t>
      </w:r>
      <w:r w:rsidR="00E338AA" w:rsidRPr="00464420">
        <w:rPr>
          <w:rFonts w:ascii="Verdana" w:eastAsiaTheme="minorEastAsia" w:hAnsi="Verdana" w:cs="Arial"/>
          <w:sz w:val="19"/>
          <w:szCs w:val="19"/>
        </w:rPr>
        <w:t>Our data shows that t</w:t>
      </w:r>
      <w:r w:rsidRPr="00464420">
        <w:rPr>
          <w:rFonts w:ascii="Verdana" w:eastAsiaTheme="minorEastAsia" w:hAnsi="Verdana" w:cs="Arial"/>
          <w:sz w:val="19"/>
          <w:szCs w:val="19"/>
        </w:rPr>
        <w:t xml:space="preserve">he </w:t>
      </w:r>
      <w:r w:rsidR="004609FD">
        <w:rPr>
          <w:rFonts w:ascii="Verdana" w:eastAsiaTheme="minorEastAsia" w:hAnsi="Verdana" w:cs="Arial"/>
          <w:sz w:val="19"/>
          <w:szCs w:val="19"/>
        </w:rPr>
        <w:t>largest</w:t>
      </w:r>
      <w:r w:rsidR="004609FD" w:rsidRPr="00464420">
        <w:rPr>
          <w:rFonts w:ascii="Verdana" w:eastAsiaTheme="minorEastAsia" w:hAnsi="Verdana" w:cs="Arial"/>
          <w:sz w:val="19"/>
          <w:szCs w:val="19"/>
        </w:rPr>
        <w:t xml:space="preserve"> </w:t>
      </w:r>
      <w:r w:rsidRPr="00464420">
        <w:rPr>
          <w:rFonts w:ascii="Verdana" w:eastAsiaTheme="minorEastAsia" w:hAnsi="Verdana" w:cs="Arial"/>
          <w:sz w:val="19"/>
          <w:szCs w:val="19"/>
        </w:rPr>
        <w:t xml:space="preserve">health budget is in the </w:t>
      </w:r>
      <w:proofErr w:type="spellStart"/>
      <w:r w:rsidRPr="00464420">
        <w:rPr>
          <w:rFonts w:ascii="Verdana" w:eastAsiaTheme="minorEastAsia" w:hAnsi="Verdana" w:cs="Arial"/>
          <w:sz w:val="19"/>
          <w:szCs w:val="19"/>
        </w:rPr>
        <w:t>Batang</w:t>
      </w:r>
      <w:proofErr w:type="spellEnd"/>
      <w:r w:rsidRPr="00464420">
        <w:rPr>
          <w:rFonts w:ascii="Verdana" w:eastAsiaTheme="minorEastAsia" w:hAnsi="Verdana" w:cs="Arial"/>
          <w:sz w:val="19"/>
          <w:szCs w:val="19"/>
        </w:rPr>
        <w:t xml:space="preserve"> </w:t>
      </w:r>
      <w:proofErr w:type="spellStart"/>
      <w:r w:rsidRPr="00464420">
        <w:rPr>
          <w:rFonts w:ascii="Verdana" w:eastAsiaTheme="minorEastAsia" w:hAnsi="Verdana" w:cs="Arial"/>
          <w:sz w:val="19"/>
          <w:szCs w:val="19"/>
        </w:rPr>
        <w:t>Hari</w:t>
      </w:r>
      <w:proofErr w:type="spellEnd"/>
      <w:r w:rsidRPr="00464420">
        <w:rPr>
          <w:rFonts w:ascii="Verdana" w:eastAsiaTheme="minorEastAsia" w:hAnsi="Verdana" w:cs="Arial"/>
          <w:sz w:val="19"/>
          <w:szCs w:val="19"/>
        </w:rPr>
        <w:t xml:space="preserve"> regency at 368 billion rupiah and the smallest health budget is in Aceh Tenggara regency with a little less than 4.5 billion rupiah. On average, the health budget for all districts on the Sumatra Island is about 117.5 billion rupiah. In terms of dengue cases, regions range from one case to 1,144 cases in a region, with each region having 221.8 cases on average. The range is even larger for diarrhea cases, with regions reporting no incidence to 41,834 cases. On average, each region has 6,913 </w:t>
      </w:r>
      <w:r w:rsidR="004609FD">
        <w:rPr>
          <w:rFonts w:ascii="Verdana" w:eastAsiaTheme="minorEastAsia" w:hAnsi="Verdana" w:cs="Arial"/>
          <w:sz w:val="19"/>
          <w:szCs w:val="19"/>
        </w:rPr>
        <w:t xml:space="preserve">diarrhea </w:t>
      </w:r>
      <w:r w:rsidRPr="00464420">
        <w:rPr>
          <w:rFonts w:ascii="Verdana" w:eastAsiaTheme="minorEastAsia" w:hAnsi="Verdana" w:cs="Arial"/>
          <w:sz w:val="19"/>
          <w:szCs w:val="19"/>
        </w:rPr>
        <w:t xml:space="preserve">cases. </w:t>
      </w:r>
      <w:r w:rsidR="004609FD">
        <w:rPr>
          <w:rFonts w:ascii="Verdana" w:eastAsiaTheme="minorEastAsia" w:hAnsi="Verdana" w:cs="Arial"/>
          <w:sz w:val="19"/>
          <w:szCs w:val="19"/>
        </w:rPr>
        <w:t xml:space="preserve">The number of </w:t>
      </w:r>
      <w:r w:rsidRPr="00464420">
        <w:rPr>
          <w:rFonts w:ascii="Verdana" w:eastAsiaTheme="minorEastAsia" w:hAnsi="Verdana" w:cs="Arial"/>
          <w:sz w:val="19"/>
          <w:szCs w:val="19"/>
        </w:rPr>
        <w:t>TB case</w:t>
      </w:r>
      <w:r w:rsidR="004609FD">
        <w:rPr>
          <w:rFonts w:ascii="Verdana" w:eastAsiaTheme="minorEastAsia" w:hAnsi="Verdana" w:cs="Arial"/>
          <w:sz w:val="19"/>
          <w:szCs w:val="19"/>
        </w:rPr>
        <w:t>s</w:t>
      </w:r>
      <w:r w:rsidR="00762AE6" w:rsidRPr="00464420">
        <w:rPr>
          <w:rFonts w:ascii="Verdana" w:eastAsiaTheme="minorEastAsia" w:hAnsi="Verdana" w:cs="Arial"/>
          <w:sz w:val="19"/>
          <w:szCs w:val="19"/>
        </w:rPr>
        <w:t xml:space="preserve"> ranges from</w:t>
      </w:r>
      <w:r w:rsidRPr="00464420">
        <w:rPr>
          <w:rFonts w:ascii="Verdana" w:eastAsiaTheme="minorEastAsia" w:hAnsi="Verdana" w:cs="Arial"/>
          <w:sz w:val="19"/>
          <w:szCs w:val="19"/>
        </w:rPr>
        <w:t xml:space="preserve"> 20 cases to 3,915 cases</w:t>
      </w:r>
      <w:r w:rsidR="00DA3C5F" w:rsidRPr="00464420">
        <w:rPr>
          <w:rFonts w:ascii="Verdana" w:eastAsiaTheme="minorEastAsia" w:hAnsi="Verdana" w:cs="Arial"/>
          <w:sz w:val="19"/>
          <w:szCs w:val="19"/>
        </w:rPr>
        <w:t xml:space="preserve"> with </w:t>
      </w:r>
      <w:r w:rsidR="004609FD">
        <w:rPr>
          <w:rFonts w:ascii="Verdana" w:eastAsiaTheme="minorEastAsia" w:hAnsi="Verdana" w:cs="Arial"/>
          <w:sz w:val="19"/>
          <w:szCs w:val="19"/>
        </w:rPr>
        <w:t xml:space="preserve">the </w:t>
      </w:r>
      <w:r w:rsidR="00DA3C5F" w:rsidRPr="00464420">
        <w:rPr>
          <w:rFonts w:ascii="Verdana" w:eastAsiaTheme="minorEastAsia" w:hAnsi="Verdana" w:cs="Arial"/>
          <w:sz w:val="19"/>
          <w:szCs w:val="19"/>
        </w:rPr>
        <w:t xml:space="preserve">average </w:t>
      </w:r>
      <w:r w:rsidR="00D87567" w:rsidRPr="00464420">
        <w:rPr>
          <w:rFonts w:ascii="Verdana" w:eastAsiaTheme="minorEastAsia" w:hAnsi="Verdana" w:cs="Arial"/>
          <w:sz w:val="19"/>
          <w:szCs w:val="19"/>
        </w:rPr>
        <w:t xml:space="preserve">of </w:t>
      </w:r>
      <w:r w:rsidR="00DA3C5F" w:rsidRPr="00464420">
        <w:rPr>
          <w:rFonts w:ascii="Verdana" w:eastAsiaTheme="minorEastAsia" w:hAnsi="Verdana" w:cs="Arial"/>
          <w:sz w:val="19"/>
          <w:szCs w:val="19"/>
        </w:rPr>
        <w:t>363 cases</w:t>
      </w:r>
      <w:r w:rsidRPr="00464420">
        <w:rPr>
          <w:rFonts w:ascii="Verdana" w:eastAsiaTheme="minorEastAsia" w:hAnsi="Verdana" w:cs="Arial"/>
          <w:sz w:val="19"/>
          <w:szCs w:val="19"/>
        </w:rPr>
        <w:t xml:space="preserve">. </w:t>
      </w:r>
    </w:p>
    <w:p w14:paraId="5EED2082" w14:textId="77777777" w:rsidR="00F12641" w:rsidRPr="00464420" w:rsidRDefault="00F12641" w:rsidP="00AD1D93">
      <w:pPr>
        <w:spacing w:after="0"/>
        <w:ind w:firstLine="706"/>
        <w:jc w:val="center"/>
        <w:rPr>
          <w:rFonts w:ascii="Verdana" w:eastAsiaTheme="minorEastAsia" w:hAnsi="Verdana" w:cs="Arial"/>
          <w:b/>
          <w:sz w:val="19"/>
          <w:szCs w:val="19"/>
        </w:rPr>
      </w:pPr>
    </w:p>
    <w:p w14:paraId="4A05143C" w14:textId="77777777" w:rsidR="00730138" w:rsidRPr="00464420" w:rsidRDefault="00AD1D93" w:rsidP="004749F5">
      <w:pPr>
        <w:spacing w:after="0"/>
        <w:jc w:val="center"/>
        <w:rPr>
          <w:rFonts w:ascii="Verdana" w:eastAsiaTheme="minorEastAsia" w:hAnsi="Verdana" w:cs="Arial"/>
          <w:b/>
          <w:sz w:val="19"/>
          <w:szCs w:val="19"/>
          <w:lang w:val="id-ID"/>
        </w:rPr>
      </w:pPr>
      <w:r w:rsidRPr="00464420">
        <w:rPr>
          <w:rFonts w:ascii="Verdana" w:eastAsiaTheme="minorEastAsia" w:hAnsi="Verdana" w:cs="Arial"/>
          <w:b/>
          <w:sz w:val="19"/>
          <w:szCs w:val="19"/>
          <w:lang w:val="id-ID"/>
        </w:rPr>
        <w:t>Table 1.</w:t>
      </w:r>
    </w:p>
    <w:p w14:paraId="3FE6290C" w14:textId="2B3FA4F2" w:rsidR="00AD1D93" w:rsidRPr="00464420" w:rsidRDefault="00AD1D93" w:rsidP="004749F5">
      <w:pPr>
        <w:spacing w:after="0"/>
        <w:jc w:val="center"/>
        <w:rPr>
          <w:rFonts w:ascii="Verdana" w:eastAsiaTheme="minorEastAsia" w:hAnsi="Verdana" w:cs="Arial"/>
          <w:b/>
          <w:sz w:val="19"/>
          <w:szCs w:val="19"/>
        </w:rPr>
      </w:pPr>
      <w:r w:rsidRPr="00464420">
        <w:rPr>
          <w:rFonts w:ascii="Verdana" w:eastAsiaTheme="minorEastAsia" w:hAnsi="Verdana" w:cs="Arial"/>
          <w:b/>
          <w:sz w:val="19"/>
          <w:szCs w:val="19"/>
        </w:rPr>
        <w:t>Descriptive Statistics</w:t>
      </w:r>
      <w:r w:rsidR="004609FD">
        <w:rPr>
          <w:rFonts w:ascii="Verdana" w:eastAsiaTheme="minorEastAsia" w:hAnsi="Verdana" w:cs="Arial"/>
          <w:b/>
          <w:sz w:val="19"/>
          <w:szCs w:val="19"/>
        </w:rPr>
        <w:t xml:space="preserve"> (N=131 cities/districts)</w:t>
      </w:r>
    </w:p>
    <w:tbl>
      <w:tblPr>
        <w:tblW w:w="4256" w:type="dxa"/>
        <w:jc w:val="center"/>
        <w:tblLayout w:type="fixed"/>
        <w:tblCellMar>
          <w:left w:w="75" w:type="dxa"/>
          <w:right w:w="75" w:type="dxa"/>
        </w:tblCellMar>
        <w:tblLook w:val="0000" w:firstRow="0" w:lastRow="0" w:firstColumn="0" w:lastColumn="0" w:noHBand="0" w:noVBand="0"/>
      </w:tblPr>
      <w:tblGrid>
        <w:gridCol w:w="1622"/>
        <w:gridCol w:w="886"/>
        <w:gridCol w:w="720"/>
        <w:gridCol w:w="1028"/>
      </w:tblGrid>
      <w:tr w:rsidR="004609FD" w:rsidRPr="00464420" w14:paraId="2EF186D0" w14:textId="77777777" w:rsidTr="00831040">
        <w:trPr>
          <w:jc w:val="center"/>
        </w:trPr>
        <w:tc>
          <w:tcPr>
            <w:tcW w:w="1622" w:type="dxa"/>
            <w:tcBorders>
              <w:top w:val="single" w:sz="4" w:space="0" w:color="auto"/>
              <w:bottom w:val="single" w:sz="4" w:space="0" w:color="auto"/>
            </w:tcBorders>
          </w:tcPr>
          <w:p w14:paraId="7BC196BC" w14:textId="77777777" w:rsidR="004609FD" w:rsidRPr="00464420" w:rsidRDefault="004609FD" w:rsidP="000D18A9">
            <w:pPr>
              <w:pStyle w:val="NoSpacing"/>
              <w:jc w:val="both"/>
              <w:rPr>
                <w:rFonts w:ascii="Verdana" w:hAnsi="Verdana"/>
                <w:sz w:val="16"/>
                <w:szCs w:val="16"/>
              </w:rPr>
            </w:pPr>
            <w:r w:rsidRPr="00464420">
              <w:rPr>
                <w:rFonts w:ascii="Verdana" w:hAnsi="Verdana"/>
                <w:sz w:val="16"/>
                <w:szCs w:val="16"/>
              </w:rPr>
              <w:t>VARIABLES</w:t>
            </w:r>
          </w:p>
        </w:tc>
        <w:tc>
          <w:tcPr>
            <w:tcW w:w="886" w:type="dxa"/>
            <w:tcBorders>
              <w:top w:val="single" w:sz="4" w:space="0" w:color="auto"/>
              <w:bottom w:val="single" w:sz="4" w:space="0" w:color="auto"/>
            </w:tcBorders>
          </w:tcPr>
          <w:p w14:paraId="14F83215"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mean</w:t>
            </w:r>
          </w:p>
        </w:tc>
        <w:tc>
          <w:tcPr>
            <w:tcW w:w="720" w:type="dxa"/>
            <w:tcBorders>
              <w:top w:val="single" w:sz="4" w:space="0" w:color="auto"/>
              <w:bottom w:val="single" w:sz="4" w:space="0" w:color="auto"/>
            </w:tcBorders>
          </w:tcPr>
          <w:p w14:paraId="10A60AD3"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min</w:t>
            </w:r>
          </w:p>
        </w:tc>
        <w:tc>
          <w:tcPr>
            <w:tcW w:w="1028" w:type="dxa"/>
            <w:tcBorders>
              <w:top w:val="single" w:sz="4" w:space="0" w:color="auto"/>
              <w:bottom w:val="single" w:sz="4" w:space="0" w:color="auto"/>
            </w:tcBorders>
          </w:tcPr>
          <w:p w14:paraId="4CFA0729"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max</w:t>
            </w:r>
          </w:p>
        </w:tc>
      </w:tr>
      <w:tr w:rsidR="004609FD" w:rsidRPr="00464420" w14:paraId="5E45F203" w14:textId="77777777" w:rsidTr="00831040">
        <w:trPr>
          <w:jc w:val="center"/>
        </w:trPr>
        <w:tc>
          <w:tcPr>
            <w:tcW w:w="1622" w:type="dxa"/>
            <w:tcBorders>
              <w:top w:val="single" w:sz="4" w:space="0" w:color="auto"/>
            </w:tcBorders>
          </w:tcPr>
          <w:p w14:paraId="02CDA804" w14:textId="77777777" w:rsidR="004609FD" w:rsidRPr="00464420" w:rsidRDefault="004609FD" w:rsidP="00703DF7">
            <w:pPr>
              <w:pStyle w:val="NoSpacing"/>
              <w:rPr>
                <w:rFonts w:ascii="Verdana" w:hAnsi="Verdana"/>
                <w:sz w:val="16"/>
                <w:szCs w:val="16"/>
              </w:rPr>
            </w:pPr>
            <w:r w:rsidRPr="00464420">
              <w:rPr>
                <w:rFonts w:ascii="Verdana" w:hAnsi="Verdana"/>
                <w:sz w:val="16"/>
                <w:szCs w:val="16"/>
              </w:rPr>
              <w:t xml:space="preserve">Health Spending (Billion </w:t>
            </w:r>
            <w:proofErr w:type="spellStart"/>
            <w:r w:rsidRPr="00464420">
              <w:rPr>
                <w:rFonts w:ascii="Verdana" w:hAnsi="Verdana"/>
                <w:sz w:val="16"/>
                <w:szCs w:val="16"/>
              </w:rPr>
              <w:t>Rp</w:t>
            </w:r>
            <w:proofErr w:type="spellEnd"/>
            <w:r w:rsidRPr="00464420">
              <w:rPr>
                <w:rFonts w:ascii="Verdana" w:hAnsi="Verdana"/>
                <w:sz w:val="16"/>
                <w:szCs w:val="16"/>
              </w:rPr>
              <w:t>)</w:t>
            </w:r>
          </w:p>
        </w:tc>
        <w:tc>
          <w:tcPr>
            <w:tcW w:w="886" w:type="dxa"/>
            <w:tcBorders>
              <w:top w:val="single" w:sz="4" w:space="0" w:color="auto"/>
            </w:tcBorders>
          </w:tcPr>
          <w:p w14:paraId="49D3945E"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117.6</w:t>
            </w:r>
          </w:p>
        </w:tc>
        <w:tc>
          <w:tcPr>
            <w:tcW w:w="720" w:type="dxa"/>
            <w:tcBorders>
              <w:top w:val="single" w:sz="4" w:space="0" w:color="auto"/>
            </w:tcBorders>
          </w:tcPr>
          <w:p w14:paraId="54EFACCB" w14:textId="0C8FF185" w:rsidR="004609FD" w:rsidRPr="00464420" w:rsidRDefault="004609FD" w:rsidP="007E41CF">
            <w:pPr>
              <w:pStyle w:val="NoSpacing"/>
              <w:jc w:val="right"/>
              <w:rPr>
                <w:rFonts w:ascii="Verdana" w:hAnsi="Verdana"/>
                <w:sz w:val="16"/>
                <w:szCs w:val="16"/>
              </w:rPr>
            </w:pPr>
            <w:r w:rsidRPr="00464420">
              <w:rPr>
                <w:rFonts w:ascii="Verdana" w:hAnsi="Verdana"/>
                <w:sz w:val="16"/>
                <w:szCs w:val="16"/>
              </w:rPr>
              <w:t>4.4</w:t>
            </w:r>
          </w:p>
        </w:tc>
        <w:tc>
          <w:tcPr>
            <w:tcW w:w="1028" w:type="dxa"/>
            <w:tcBorders>
              <w:top w:val="single" w:sz="4" w:space="0" w:color="auto"/>
            </w:tcBorders>
          </w:tcPr>
          <w:p w14:paraId="09C4CF00"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368.4</w:t>
            </w:r>
          </w:p>
        </w:tc>
      </w:tr>
      <w:tr w:rsidR="004609FD" w:rsidRPr="00464420" w14:paraId="2BCA21D1" w14:textId="77777777" w:rsidTr="00831040">
        <w:trPr>
          <w:jc w:val="center"/>
        </w:trPr>
        <w:tc>
          <w:tcPr>
            <w:tcW w:w="1622" w:type="dxa"/>
          </w:tcPr>
          <w:p w14:paraId="3C625414" w14:textId="77777777" w:rsidR="004609FD" w:rsidRPr="00464420" w:rsidRDefault="004609FD" w:rsidP="007E41CF">
            <w:pPr>
              <w:pStyle w:val="NoSpacing"/>
              <w:rPr>
                <w:rFonts w:ascii="Verdana" w:hAnsi="Verdana"/>
                <w:sz w:val="16"/>
                <w:szCs w:val="16"/>
              </w:rPr>
            </w:pPr>
            <w:r w:rsidRPr="00464420">
              <w:rPr>
                <w:rFonts w:ascii="Verdana" w:hAnsi="Verdana"/>
                <w:sz w:val="16"/>
                <w:szCs w:val="16"/>
              </w:rPr>
              <w:t xml:space="preserve">Dengue cases </w:t>
            </w:r>
          </w:p>
        </w:tc>
        <w:tc>
          <w:tcPr>
            <w:tcW w:w="886" w:type="dxa"/>
          </w:tcPr>
          <w:p w14:paraId="74104B35"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221.8</w:t>
            </w:r>
          </w:p>
        </w:tc>
        <w:tc>
          <w:tcPr>
            <w:tcW w:w="720" w:type="dxa"/>
          </w:tcPr>
          <w:p w14:paraId="30221D20"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1</w:t>
            </w:r>
          </w:p>
        </w:tc>
        <w:tc>
          <w:tcPr>
            <w:tcW w:w="1028" w:type="dxa"/>
          </w:tcPr>
          <w:p w14:paraId="27C42B9E"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1,144</w:t>
            </w:r>
          </w:p>
        </w:tc>
      </w:tr>
      <w:tr w:rsidR="004609FD" w:rsidRPr="00464420" w14:paraId="4D8B0B17" w14:textId="77777777" w:rsidTr="00831040">
        <w:trPr>
          <w:jc w:val="center"/>
        </w:trPr>
        <w:tc>
          <w:tcPr>
            <w:tcW w:w="1622" w:type="dxa"/>
          </w:tcPr>
          <w:p w14:paraId="04802B77" w14:textId="77777777" w:rsidR="004609FD" w:rsidRPr="00464420" w:rsidRDefault="004609FD" w:rsidP="007E41CF">
            <w:pPr>
              <w:pStyle w:val="NoSpacing"/>
              <w:rPr>
                <w:rFonts w:ascii="Verdana" w:hAnsi="Verdana"/>
                <w:sz w:val="16"/>
                <w:szCs w:val="16"/>
              </w:rPr>
            </w:pPr>
            <w:r w:rsidRPr="00464420">
              <w:rPr>
                <w:rFonts w:ascii="Verdana" w:hAnsi="Verdana"/>
                <w:sz w:val="16"/>
                <w:szCs w:val="16"/>
              </w:rPr>
              <w:t xml:space="preserve">Diarrhea cases </w:t>
            </w:r>
          </w:p>
        </w:tc>
        <w:tc>
          <w:tcPr>
            <w:tcW w:w="886" w:type="dxa"/>
          </w:tcPr>
          <w:p w14:paraId="3CB026D4"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6,913</w:t>
            </w:r>
          </w:p>
        </w:tc>
        <w:tc>
          <w:tcPr>
            <w:tcW w:w="720" w:type="dxa"/>
          </w:tcPr>
          <w:p w14:paraId="4CCE6EBA"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36</w:t>
            </w:r>
          </w:p>
        </w:tc>
        <w:tc>
          <w:tcPr>
            <w:tcW w:w="1028" w:type="dxa"/>
          </w:tcPr>
          <w:p w14:paraId="267ABC00"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41,834</w:t>
            </w:r>
          </w:p>
        </w:tc>
      </w:tr>
      <w:tr w:rsidR="004609FD" w:rsidRPr="00464420" w14:paraId="25EB732D" w14:textId="77777777" w:rsidTr="00831040">
        <w:trPr>
          <w:jc w:val="center"/>
        </w:trPr>
        <w:tc>
          <w:tcPr>
            <w:tcW w:w="1622" w:type="dxa"/>
          </w:tcPr>
          <w:p w14:paraId="6A3548F2" w14:textId="77777777" w:rsidR="004609FD" w:rsidRPr="00464420" w:rsidRDefault="004609FD" w:rsidP="007E41CF">
            <w:pPr>
              <w:pStyle w:val="NoSpacing"/>
              <w:rPr>
                <w:rFonts w:ascii="Verdana" w:hAnsi="Verdana"/>
                <w:sz w:val="16"/>
                <w:szCs w:val="16"/>
              </w:rPr>
            </w:pPr>
            <w:r w:rsidRPr="00464420">
              <w:rPr>
                <w:rFonts w:ascii="Verdana" w:hAnsi="Verdana"/>
                <w:sz w:val="16"/>
                <w:szCs w:val="16"/>
              </w:rPr>
              <w:t xml:space="preserve">TBC cases </w:t>
            </w:r>
          </w:p>
        </w:tc>
        <w:tc>
          <w:tcPr>
            <w:tcW w:w="886" w:type="dxa"/>
          </w:tcPr>
          <w:p w14:paraId="3A3E186A"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363.6</w:t>
            </w:r>
          </w:p>
        </w:tc>
        <w:tc>
          <w:tcPr>
            <w:tcW w:w="720" w:type="dxa"/>
          </w:tcPr>
          <w:p w14:paraId="7B3B5D7E"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20</w:t>
            </w:r>
          </w:p>
        </w:tc>
        <w:tc>
          <w:tcPr>
            <w:tcW w:w="1028" w:type="dxa"/>
          </w:tcPr>
          <w:p w14:paraId="2F7E9373"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3,915</w:t>
            </w:r>
          </w:p>
        </w:tc>
      </w:tr>
      <w:tr w:rsidR="004609FD" w:rsidRPr="00464420" w14:paraId="46F20037" w14:textId="77777777" w:rsidTr="00831040">
        <w:trPr>
          <w:jc w:val="center"/>
        </w:trPr>
        <w:tc>
          <w:tcPr>
            <w:tcW w:w="1622" w:type="dxa"/>
          </w:tcPr>
          <w:p w14:paraId="54AE5B5D" w14:textId="77777777" w:rsidR="004609FD" w:rsidRPr="00464420" w:rsidRDefault="004609FD" w:rsidP="007E41CF">
            <w:pPr>
              <w:pStyle w:val="NoSpacing"/>
              <w:rPr>
                <w:rFonts w:ascii="Verdana" w:hAnsi="Verdana"/>
                <w:sz w:val="16"/>
                <w:szCs w:val="16"/>
              </w:rPr>
            </w:pPr>
            <w:r w:rsidRPr="00464420">
              <w:rPr>
                <w:rFonts w:ascii="Verdana" w:hAnsi="Verdana"/>
                <w:sz w:val="16"/>
                <w:szCs w:val="16"/>
              </w:rPr>
              <w:t>Primary Health Care number</w:t>
            </w:r>
          </w:p>
        </w:tc>
        <w:tc>
          <w:tcPr>
            <w:tcW w:w="886" w:type="dxa"/>
          </w:tcPr>
          <w:p w14:paraId="0BCCA124"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16.97</w:t>
            </w:r>
          </w:p>
        </w:tc>
        <w:tc>
          <w:tcPr>
            <w:tcW w:w="720" w:type="dxa"/>
          </w:tcPr>
          <w:p w14:paraId="444E9D32"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4</w:t>
            </w:r>
          </w:p>
        </w:tc>
        <w:tc>
          <w:tcPr>
            <w:tcW w:w="1028" w:type="dxa"/>
          </w:tcPr>
          <w:p w14:paraId="16F16D12"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39</w:t>
            </w:r>
          </w:p>
        </w:tc>
      </w:tr>
      <w:tr w:rsidR="004609FD" w:rsidRPr="00464420" w14:paraId="1708321C" w14:textId="77777777" w:rsidTr="00831040">
        <w:trPr>
          <w:jc w:val="center"/>
        </w:trPr>
        <w:tc>
          <w:tcPr>
            <w:tcW w:w="1622" w:type="dxa"/>
          </w:tcPr>
          <w:p w14:paraId="4CFF0C0E" w14:textId="77777777" w:rsidR="004609FD" w:rsidRPr="00464420" w:rsidRDefault="004609FD" w:rsidP="00703DF7">
            <w:pPr>
              <w:pStyle w:val="NoSpacing"/>
              <w:rPr>
                <w:rFonts w:ascii="Verdana" w:hAnsi="Verdana"/>
                <w:sz w:val="16"/>
                <w:szCs w:val="16"/>
              </w:rPr>
            </w:pPr>
            <w:r w:rsidRPr="00464420">
              <w:rPr>
                <w:rFonts w:ascii="Verdana" w:hAnsi="Verdana"/>
                <w:sz w:val="16"/>
                <w:szCs w:val="16"/>
              </w:rPr>
              <w:t>Population (people)</w:t>
            </w:r>
          </w:p>
        </w:tc>
        <w:tc>
          <w:tcPr>
            <w:tcW w:w="886" w:type="dxa"/>
          </w:tcPr>
          <w:p w14:paraId="5D3359EC"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362,891</w:t>
            </w:r>
          </w:p>
        </w:tc>
        <w:tc>
          <w:tcPr>
            <w:tcW w:w="720" w:type="dxa"/>
          </w:tcPr>
          <w:p w14:paraId="160D92DF"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33,622</w:t>
            </w:r>
          </w:p>
        </w:tc>
        <w:tc>
          <w:tcPr>
            <w:tcW w:w="1028" w:type="dxa"/>
          </w:tcPr>
          <w:p w14:paraId="21C82A37" w14:textId="77777777" w:rsidR="004609FD" w:rsidRPr="00464420" w:rsidRDefault="004609FD" w:rsidP="007E41CF">
            <w:pPr>
              <w:pStyle w:val="NoSpacing"/>
              <w:jc w:val="right"/>
              <w:rPr>
                <w:rFonts w:ascii="Verdana" w:hAnsi="Verdana"/>
                <w:sz w:val="16"/>
                <w:szCs w:val="16"/>
              </w:rPr>
            </w:pPr>
            <w:r w:rsidRPr="00464420">
              <w:rPr>
                <w:rFonts w:ascii="Verdana" w:hAnsi="Verdana"/>
                <w:sz w:val="16"/>
                <w:szCs w:val="16"/>
              </w:rPr>
              <w:t>2,072,521</w:t>
            </w:r>
          </w:p>
        </w:tc>
      </w:tr>
      <w:tr w:rsidR="004609FD" w:rsidRPr="00464420" w14:paraId="65C29BE4" w14:textId="77777777" w:rsidTr="00831040">
        <w:trPr>
          <w:jc w:val="center"/>
        </w:trPr>
        <w:tc>
          <w:tcPr>
            <w:tcW w:w="1622" w:type="dxa"/>
            <w:tcBorders>
              <w:bottom w:val="single" w:sz="4" w:space="0" w:color="auto"/>
            </w:tcBorders>
          </w:tcPr>
          <w:p w14:paraId="30772381" w14:textId="77777777" w:rsidR="004609FD" w:rsidRPr="00464420" w:rsidRDefault="004609FD" w:rsidP="00AD1D93">
            <w:pPr>
              <w:pStyle w:val="NoSpacing"/>
              <w:rPr>
                <w:rFonts w:ascii="Verdana" w:hAnsi="Verdana"/>
                <w:sz w:val="16"/>
                <w:szCs w:val="16"/>
              </w:rPr>
            </w:pPr>
            <w:r w:rsidRPr="00464420">
              <w:rPr>
                <w:rFonts w:ascii="Verdana" w:hAnsi="Verdana"/>
                <w:sz w:val="16"/>
                <w:szCs w:val="16"/>
              </w:rPr>
              <w:t>Population density (people/km</w:t>
            </w:r>
            <w:r w:rsidRPr="00464420">
              <w:rPr>
                <w:rFonts w:ascii="Verdana" w:hAnsi="Verdana"/>
                <w:sz w:val="16"/>
                <w:szCs w:val="16"/>
                <w:vertAlign w:val="superscript"/>
              </w:rPr>
              <w:t>2</w:t>
            </w:r>
            <w:r w:rsidRPr="00464420">
              <w:rPr>
                <w:rFonts w:ascii="Verdana" w:hAnsi="Verdana"/>
                <w:sz w:val="16"/>
                <w:szCs w:val="16"/>
              </w:rPr>
              <w:t>)</w:t>
            </w:r>
          </w:p>
        </w:tc>
        <w:tc>
          <w:tcPr>
            <w:tcW w:w="886" w:type="dxa"/>
            <w:tcBorders>
              <w:bottom w:val="single" w:sz="4" w:space="0" w:color="auto"/>
            </w:tcBorders>
          </w:tcPr>
          <w:p w14:paraId="5B9B013C" w14:textId="77777777" w:rsidR="004609FD" w:rsidRPr="00464420" w:rsidRDefault="004609FD" w:rsidP="00AD1D93">
            <w:pPr>
              <w:pStyle w:val="NoSpacing"/>
              <w:jc w:val="right"/>
              <w:rPr>
                <w:rFonts w:ascii="Verdana" w:hAnsi="Verdana"/>
                <w:sz w:val="16"/>
                <w:szCs w:val="16"/>
              </w:rPr>
            </w:pPr>
            <w:r w:rsidRPr="00464420">
              <w:rPr>
                <w:rFonts w:ascii="Verdana" w:hAnsi="Verdana"/>
                <w:sz w:val="16"/>
                <w:szCs w:val="16"/>
              </w:rPr>
              <w:t>531.3</w:t>
            </w:r>
          </w:p>
        </w:tc>
        <w:tc>
          <w:tcPr>
            <w:tcW w:w="720" w:type="dxa"/>
            <w:tcBorders>
              <w:bottom w:val="single" w:sz="4" w:space="0" w:color="auto"/>
            </w:tcBorders>
          </w:tcPr>
          <w:p w14:paraId="648B3F93" w14:textId="77777777" w:rsidR="004609FD" w:rsidRPr="00464420" w:rsidRDefault="004609FD" w:rsidP="00AD1D93">
            <w:pPr>
              <w:pStyle w:val="NoSpacing"/>
              <w:jc w:val="right"/>
              <w:rPr>
                <w:rFonts w:ascii="Verdana" w:hAnsi="Verdana"/>
                <w:sz w:val="16"/>
                <w:szCs w:val="16"/>
              </w:rPr>
            </w:pPr>
            <w:r w:rsidRPr="00464420">
              <w:rPr>
                <w:rFonts w:ascii="Verdana" w:hAnsi="Verdana"/>
                <w:sz w:val="16"/>
                <w:szCs w:val="16"/>
              </w:rPr>
              <w:t>16</w:t>
            </w:r>
          </w:p>
        </w:tc>
        <w:tc>
          <w:tcPr>
            <w:tcW w:w="1028" w:type="dxa"/>
            <w:tcBorders>
              <w:bottom w:val="single" w:sz="4" w:space="0" w:color="auto"/>
            </w:tcBorders>
          </w:tcPr>
          <w:p w14:paraId="4D12D001" w14:textId="77777777" w:rsidR="004609FD" w:rsidRPr="00464420" w:rsidRDefault="004609FD" w:rsidP="00AD1D93">
            <w:pPr>
              <w:pStyle w:val="NoSpacing"/>
              <w:jc w:val="right"/>
              <w:rPr>
                <w:rFonts w:ascii="Verdana" w:hAnsi="Verdana"/>
                <w:sz w:val="16"/>
                <w:szCs w:val="16"/>
              </w:rPr>
            </w:pPr>
            <w:r w:rsidRPr="00464420">
              <w:rPr>
                <w:rFonts w:ascii="Verdana" w:hAnsi="Verdana"/>
                <w:sz w:val="16"/>
                <w:szCs w:val="16"/>
              </w:rPr>
              <w:t>5,126</w:t>
            </w:r>
          </w:p>
        </w:tc>
      </w:tr>
    </w:tbl>
    <w:p w14:paraId="75E35862" w14:textId="58F86EBC" w:rsidR="00730138" w:rsidRPr="00464420" w:rsidRDefault="00AD1D93" w:rsidP="00AD1D93">
      <w:pPr>
        <w:spacing w:after="0"/>
        <w:ind w:firstLine="709"/>
        <w:jc w:val="right"/>
        <w:rPr>
          <w:rFonts w:ascii="Verdana" w:eastAsiaTheme="minorEastAsia" w:hAnsi="Verdana" w:cs="Arial"/>
          <w:sz w:val="19"/>
          <w:szCs w:val="19"/>
        </w:rPr>
      </w:pPr>
      <w:r w:rsidRPr="00464420">
        <w:rPr>
          <w:rFonts w:ascii="Verdana" w:eastAsiaTheme="minorEastAsia" w:hAnsi="Verdana" w:cs="Arial"/>
          <w:sz w:val="19"/>
          <w:szCs w:val="19"/>
        </w:rPr>
        <w:t xml:space="preserve">Source: </w:t>
      </w:r>
      <w:r w:rsidR="00462930">
        <w:rPr>
          <w:rFonts w:ascii="Verdana" w:eastAsiaTheme="minorEastAsia" w:hAnsi="Verdana" w:cs="Arial"/>
          <w:sz w:val="19"/>
          <w:szCs w:val="19"/>
        </w:rPr>
        <w:fldChar w:fldCharType="begin" w:fldLock="1"/>
      </w:r>
      <w:r w:rsidR="00462930">
        <w:rPr>
          <w:rFonts w:ascii="Verdana" w:eastAsiaTheme="minorEastAsia" w:hAnsi="Verdana" w:cs="Arial"/>
          <w:sz w:val="19"/>
          <w:szCs w:val="19"/>
        </w:rPr>
        <w:instrText>ADDIN CSL_CITATION {"citationItems":[{"id":"ITEM-1","itemData":{"author":[{"dropping-particle":"","family":"Badan Pusat Statistik","given":"","non-dropping-particle":"","parse-names":false,"suffix":""}],"id":"ITEM-1","issued":{"date-parts":[["2017"]]},"number-of-pages":"1-750","title":"Statistik Indonesia","type":"book"},"uris":["http://www.mendeley.com/documents/?uuid=8c37bf85-b726-49ea-b799-db6911c44923"]}],"mendeley":{"formattedCitation":"(Badan Pusat Statistik, 2017)","plainTextFormattedCitation":"(Badan Pusat Statistik, 2017)"},"properties":{"noteIndex":0},"schema":"https://github.com/citation-style-language/schema/raw/master/csl-citation.json"}</w:instrText>
      </w:r>
      <w:r w:rsidR="00462930">
        <w:rPr>
          <w:rFonts w:ascii="Verdana" w:eastAsiaTheme="minorEastAsia" w:hAnsi="Verdana" w:cs="Arial"/>
          <w:sz w:val="19"/>
          <w:szCs w:val="19"/>
        </w:rPr>
        <w:fldChar w:fldCharType="separate"/>
      </w:r>
      <w:r w:rsidR="00462930" w:rsidRPr="00462930">
        <w:rPr>
          <w:rFonts w:ascii="Verdana" w:eastAsiaTheme="minorEastAsia" w:hAnsi="Verdana" w:cs="Arial"/>
          <w:noProof/>
          <w:sz w:val="19"/>
          <w:szCs w:val="19"/>
        </w:rPr>
        <w:t>(Badan Pusat Statistik, 2017)</w:t>
      </w:r>
      <w:r w:rsidR="00462930">
        <w:rPr>
          <w:rFonts w:ascii="Verdana" w:eastAsiaTheme="minorEastAsia" w:hAnsi="Verdana" w:cs="Arial"/>
          <w:sz w:val="19"/>
          <w:szCs w:val="19"/>
        </w:rPr>
        <w:fldChar w:fldCharType="end"/>
      </w:r>
    </w:p>
    <w:p w14:paraId="2DC2B0A6" w14:textId="315C480A" w:rsidR="009765B4" w:rsidRDefault="0098735A" w:rsidP="009765B4">
      <w:pPr>
        <w:spacing w:beforeLines="80" w:before="192" w:after="0"/>
        <w:ind w:firstLine="709"/>
        <w:jc w:val="both"/>
        <w:rPr>
          <w:rFonts w:ascii="Verdana" w:eastAsiaTheme="minorEastAsia" w:hAnsi="Verdana" w:cs="Arial"/>
          <w:sz w:val="19"/>
          <w:szCs w:val="19"/>
        </w:rPr>
      </w:pPr>
      <w:r w:rsidRPr="00464420">
        <w:rPr>
          <w:rFonts w:ascii="Verdana" w:eastAsiaTheme="minorEastAsia" w:hAnsi="Verdana" w:cs="Arial"/>
          <w:sz w:val="19"/>
          <w:szCs w:val="19"/>
        </w:rPr>
        <w:t xml:space="preserve">The minimum </w:t>
      </w:r>
      <w:r w:rsidR="00D87567" w:rsidRPr="00464420">
        <w:rPr>
          <w:rFonts w:ascii="Verdana" w:eastAsiaTheme="minorEastAsia" w:hAnsi="Verdana" w:cs="Arial"/>
          <w:sz w:val="19"/>
          <w:szCs w:val="19"/>
        </w:rPr>
        <w:t xml:space="preserve">and maximum </w:t>
      </w:r>
      <w:r w:rsidRPr="00464420">
        <w:rPr>
          <w:rFonts w:ascii="Verdana" w:eastAsiaTheme="minorEastAsia" w:hAnsi="Verdana" w:cs="Arial"/>
          <w:sz w:val="19"/>
          <w:szCs w:val="19"/>
        </w:rPr>
        <w:t xml:space="preserve">number of primary health care is </w:t>
      </w:r>
      <w:r w:rsidR="009765B4" w:rsidRPr="00464420">
        <w:rPr>
          <w:rFonts w:ascii="Verdana" w:eastAsiaTheme="minorEastAsia" w:hAnsi="Verdana" w:cs="Arial"/>
          <w:sz w:val="19"/>
          <w:szCs w:val="19"/>
        </w:rPr>
        <w:t xml:space="preserve">4 </w:t>
      </w:r>
      <w:r w:rsidRPr="00464420">
        <w:rPr>
          <w:rFonts w:ascii="Verdana" w:eastAsiaTheme="minorEastAsia" w:hAnsi="Verdana" w:cs="Arial"/>
          <w:sz w:val="19"/>
          <w:szCs w:val="19"/>
        </w:rPr>
        <w:t xml:space="preserve">and </w:t>
      </w:r>
      <w:r w:rsidR="00D87567" w:rsidRPr="00464420">
        <w:rPr>
          <w:rFonts w:ascii="Verdana" w:eastAsiaTheme="minorEastAsia" w:hAnsi="Verdana" w:cs="Arial"/>
          <w:sz w:val="19"/>
          <w:szCs w:val="19"/>
        </w:rPr>
        <w:t>39</w:t>
      </w:r>
      <w:r w:rsidR="00795C13">
        <w:rPr>
          <w:rFonts w:ascii="Verdana" w:eastAsiaTheme="minorEastAsia" w:hAnsi="Verdana" w:cs="Arial"/>
          <w:sz w:val="19"/>
          <w:szCs w:val="19"/>
        </w:rPr>
        <w:t>,</w:t>
      </w:r>
      <w:r w:rsidR="00D87567" w:rsidRPr="00464420">
        <w:rPr>
          <w:rFonts w:ascii="Verdana" w:eastAsiaTheme="minorEastAsia" w:hAnsi="Verdana" w:cs="Arial"/>
          <w:sz w:val="19"/>
          <w:szCs w:val="19"/>
        </w:rPr>
        <w:t xml:space="preserve"> respectively </w:t>
      </w:r>
      <w:r w:rsidR="00795C13">
        <w:rPr>
          <w:rFonts w:ascii="Verdana" w:eastAsiaTheme="minorEastAsia" w:hAnsi="Verdana" w:cs="Arial"/>
          <w:sz w:val="19"/>
          <w:szCs w:val="19"/>
        </w:rPr>
        <w:t xml:space="preserve">(mean = </w:t>
      </w:r>
      <w:r w:rsidR="009765B4" w:rsidRPr="00464420">
        <w:rPr>
          <w:rFonts w:ascii="Verdana" w:eastAsiaTheme="minorEastAsia" w:hAnsi="Verdana" w:cs="Arial"/>
          <w:sz w:val="19"/>
          <w:szCs w:val="19"/>
        </w:rPr>
        <w:t>16</w:t>
      </w:r>
      <w:r w:rsidR="00795C13">
        <w:rPr>
          <w:rFonts w:ascii="Verdana" w:eastAsiaTheme="minorEastAsia" w:hAnsi="Verdana" w:cs="Arial"/>
          <w:sz w:val="19"/>
          <w:szCs w:val="19"/>
        </w:rPr>
        <w:t>)</w:t>
      </w:r>
      <w:r w:rsidR="009765B4" w:rsidRPr="00464420">
        <w:rPr>
          <w:rFonts w:ascii="Verdana" w:eastAsiaTheme="minorEastAsia" w:hAnsi="Verdana" w:cs="Arial"/>
          <w:sz w:val="19"/>
          <w:szCs w:val="19"/>
        </w:rPr>
        <w:t xml:space="preserve">. Population is not spread evenly over the island, as a region only has a population of 33,622 while another has 2 million </w:t>
      </w:r>
      <w:r w:rsidR="00D87567" w:rsidRPr="00464420">
        <w:rPr>
          <w:rFonts w:ascii="Verdana" w:eastAsiaTheme="minorEastAsia" w:hAnsi="Verdana" w:cs="Arial"/>
          <w:sz w:val="19"/>
          <w:szCs w:val="19"/>
        </w:rPr>
        <w:t>of</w:t>
      </w:r>
      <w:r w:rsidR="009765B4" w:rsidRPr="00464420">
        <w:rPr>
          <w:rFonts w:ascii="Verdana" w:eastAsiaTheme="minorEastAsia" w:hAnsi="Verdana" w:cs="Arial"/>
          <w:sz w:val="19"/>
          <w:szCs w:val="19"/>
        </w:rPr>
        <w:t xml:space="preserve"> population. On average, </w:t>
      </w:r>
      <w:r w:rsidR="000F1874">
        <w:rPr>
          <w:rFonts w:ascii="Verdana" w:eastAsiaTheme="minorEastAsia" w:hAnsi="Verdana" w:cs="Arial"/>
          <w:sz w:val="19"/>
          <w:szCs w:val="19"/>
        </w:rPr>
        <w:t>cities/d</w:t>
      </w:r>
      <w:r w:rsidR="00D87567" w:rsidRPr="00464420">
        <w:rPr>
          <w:rFonts w:ascii="Verdana" w:eastAsiaTheme="minorEastAsia" w:hAnsi="Verdana" w:cs="Arial"/>
          <w:sz w:val="19"/>
          <w:szCs w:val="19"/>
        </w:rPr>
        <w:t xml:space="preserve">istrict </w:t>
      </w:r>
      <w:r w:rsidR="000F1874">
        <w:rPr>
          <w:rFonts w:ascii="Verdana" w:eastAsiaTheme="minorEastAsia" w:hAnsi="Verdana" w:cs="Arial"/>
          <w:sz w:val="19"/>
          <w:szCs w:val="19"/>
        </w:rPr>
        <w:t xml:space="preserve">in </w:t>
      </w:r>
      <w:r w:rsidR="000F1874" w:rsidRPr="00464420">
        <w:rPr>
          <w:rFonts w:ascii="Verdana" w:eastAsiaTheme="minorEastAsia" w:hAnsi="Verdana" w:cs="Arial"/>
          <w:sz w:val="19"/>
          <w:szCs w:val="19"/>
        </w:rPr>
        <w:t xml:space="preserve">Sumatra Island </w:t>
      </w:r>
      <w:proofErr w:type="gramStart"/>
      <w:r w:rsidR="00D87567" w:rsidRPr="00464420">
        <w:rPr>
          <w:rFonts w:ascii="Verdana" w:eastAsiaTheme="minorEastAsia" w:hAnsi="Verdana" w:cs="Arial"/>
          <w:sz w:val="19"/>
          <w:szCs w:val="19"/>
        </w:rPr>
        <w:t>are</w:t>
      </w:r>
      <w:proofErr w:type="gramEnd"/>
      <w:r w:rsidR="00D87567" w:rsidRPr="00464420">
        <w:rPr>
          <w:rFonts w:ascii="Verdana" w:eastAsiaTheme="minorEastAsia" w:hAnsi="Verdana" w:cs="Arial"/>
          <w:sz w:val="19"/>
          <w:szCs w:val="19"/>
        </w:rPr>
        <w:t xml:space="preserve"> populated by </w:t>
      </w:r>
      <w:r w:rsidR="009765B4" w:rsidRPr="00464420">
        <w:rPr>
          <w:rFonts w:ascii="Verdana" w:eastAsiaTheme="minorEastAsia" w:hAnsi="Verdana" w:cs="Arial"/>
          <w:sz w:val="19"/>
          <w:szCs w:val="19"/>
        </w:rPr>
        <w:t xml:space="preserve">362,891 </w:t>
      </w:r>
      <w:r w:rsidR="00D87567" w:rsidRPr="00464420">
        <w:rPr>
          <w:rFonts w:ascii="Verdana" w:eastAsiaTheme="minorEastAsia" w:hAnsi="Verdana" w:cs="Arial"/>
          <w:sz w:val="19"/>
          <w:szCs w:val="19"/>
        </w:rPr>
        <w:t>people</w:t>
      </w:r>
      <w:r w:rsidR="009765B4" w:rsidRPr="00464420">
        <w:rPr>
          <w:rFonts w:ascii="Verdana" w:eastAsiaTheme="minorEastAsia" w:hAnsi="Verdana" w:cs="Arial"/>
          <w:sz w:val="19"/>
          <w:szCs w:val="19"/>
        </w:rPr>
        <w:t xml:space="preserve">. The population density is also vastly </w:t>
      </w:r>
      <w:r w:rsidR="00831040" w:rsidRPr="00464420">
        <w:rPr>
          <w:rFonts w:ascii="Verdana" w:eastAsiaTheme="minorEastAsia" w:hAnsi="Verdana" w:cs="Arial"/>
          <w:sz w:val="19"/>
          <w:szCs w:val="19"/>
        </w:rPr>
        <w:t>different</w:t>
      </w:r>
      <w:r w:rsidR="00831040">
        <w:rPr>
          <w:rFonts w:ascii="Verdana" w:eastAsiaTheme="minorEastAsia" w:hAnsi="Verdana" w:cs="Arial"/>
          <w:sz w:val="19"/>
          <w:szCs w:val="19"/>
        </w:rPr>
        <w:t xml:space="preserve"> (</w:t>
      </w:r>
      <w:r w:rsidR="009765B4" w:rsidRPr="00464420">
        <w:rPr>
          <w:rFonts w:ascii="Verdana" w:eastAsiaTheme="minorEastAsia" w:hAnsi="Verdana" w:cs="Arial"/>
          <w:sz w:val="19"/>
          <w:szCs w:val="19"/>
        </w:rPr>
        <w:t xml:space="preserve">16 </w:t>
      </w:r>
      <w:r w:rsidR="000F1874">
        <w:rPr>
          <w:rFonts w:ascii="Verdana" w:eastAsiaTheme="minorEastAsia" w:hAnsi="Verdana" w:cs="Arial"/>
          <w:sz w:val="19"/>
          <w:szCs w:val="19"/>
        </w:rPr>
        <w:t xml:space="preserve">- </w:t>
      </w:r>
      <w:r w:rsidR="009765B4" w:rsidRPr="00464420">
        <w:rPr>
          <w:rFonts w:ascii="Verdana" w:eastAsiaTheme="minorEastAsia" w:hAnsi="Verdana" w:cs="Arial"/>
          <w:sz w:val="19"/>
          <w:szCs w:val="19"/>
        </w:rPr>
        <w:t>5,126 people per km</w:t>
      </w:r>
      <w:r w:rsidR="009765B4" w:rsidRPr="00464420">
        <w:rPr>
          <w:rFonts w:ascii="Verdana" w:eastAsiaTheme="minorEastAsia" w:hAnsi="Verdana" w:cs="Arial"/>
          <w:sz w:val="19"/>
          <w:szCs w:val="19"/>
          <w:vertAlign w:val="superscript"/>
        </w:rPr>
        <w:t>2</w:t>
      </w:r>
      <w:r w:rsidR="000F1874">
        <w:rPr>
          <w:rFonts w:ascii="Verdana" w:eastAsiaTheme="minorEastAsia" w:hAnsi="Verdana" w:cs="Arial"/>
          <w:sz w:val="19"/>
          <w:szCs w:val="19"/>
        </w:rPr>
        <w:t xml:space="preserve">), with the average of </w:t>
      </w:r>
      <w:r w:rsidR="009765B4" w:rsidRPr="00464420">
        <w:rPr>
          <w:rFonts w:ascii="Verdana" w:eastAsiaTheme="minorEastAsia" w:hAnsi="Verdana" w:cs="Arial"/>
          <w:sz w:val="19"/>
          <w:szCs w:val="19"/>
        </w:rPr>
        <w:t>531 people per km</w:t>
      </w:r>
      <w:r w:rsidR="009765B4" w:rsidRPr="00464420">
        <w:rPr>
          <w:rFonts w:ascii="Verdana" w:eastAsiaTheme="minorEastAsia" w:hAnsi="Verdana" w:cs="Arial"/>
          <w:sz w:val="19"/>
          <w:szCs w:val="19"/>
          <w:vertAlign w:val="superscript"/>
        </w:rPr>
        <w:t>2</w:t>
      </w:r>
      <w:r w:rsidR="009765B4" w:rsidRPr="00464420">
        <w:rPr>
          <w:rFonts w:ascii="Verdana" w:eastAsiaTheme="minorEastAsia" w:hAnsi="Verdana" w:cs="Arial"/>
          <w:sz w:val="19"/>
          <w:szCs w:val="19"/>
        </w:rPr>
        <w:t>.</w:t>
      </w:r>
    </w:p>
    <w:p w14:paraId="29E2FF3F" w14:textId="77777777" w:rsidR="00831040" w:rsidRDefault="00831040" w:rsidP="004749F5">
      <w:pPr>
        <w:spacing w:after="0"/>
        <w:jc w:val="center"/>
        <w:rPr>
          <w:rFonts w:ascii="Verdana" w:eastAsiaTheme="minorEastAsia" w:hAnsi="Verdana" w:cs="Arial"/>
          <w:b/>
          <w:sz w:val="19"/>
          <w:szCs w:val="19"/>
        </w:rPr>
      </w:pPr>
    </w:p>
    <w:p w14:paraId="46EFFC4F" w14:textId="77777777" w:rsidR="00586DFD" w:rsidRDefault="00586DFD" w:rsidP="004749F5">
      <w:pPr>
        <w:spacing w:after="0"/>
        <w:jc w:val="center"/>
        <w:rPr>
          <w:rFonts w:ascii="Verdana" w:eastAsiaTheme="minorEastAsia" w:hAnsi="Verdana" w:cs="Arial"/>
          <w:b/>
          <w:sz w:val="19"/>
          <w:szCs w:val="19"/>
          <w:lang w:val="id-ID"/>
        </w:rPr>
        <w:sectPr w:rsidR="00586DFD" w:rsidSect="002A0E22">
          <w:type w:val="continuous"/>
          <w:pgSz w:w="11907" w:h="16840" w:code="9"/>
          <w:pgMar w:top="1448" w:right="1296" w:bottom="1699" w:left="1296" w:header="864" w:footer="576" w:gutter="0"/>
          <w:cols w:num="2" w:space="387"/>
          <w:titlePg/>
          <w:docGrid w:linePitch="360"/>
        </w:sectPr>
      </w:pPr>
    </w:p>
    <w:p w14:paraId="3EC8C4C4" w14:textId="77777777" w:rsidR="00A14F70" w:rsidRDefault="00A14F70" w:rsidP="004749F5">
      <w:pPr>
        <w:spacing w:after="0"/>
        <w:jc w:val="center"/>
        <w:rPr>
          <w:rFonts w:ascii="Verdana" w:eastAsiaTheme="minorEastAsia" w:hAnsi="Verdana" w:cs="Arial"/>
          <w:b/>
          <w:sz w:val="19"/>
          <w:szCs w:val="19"/>
        </w:rPr>
      </w:pPr>
    </w:p>
    <w:p w14:paraId="37317B81" w14:textId="77777777" w:rsidR="00A14F70" w:rsidRDefault="00A14F70" w:rsidP="004749F5">
      <w:pPr>
        <w:spacing w:after="0"/>
        <w:jc w:val="center"/>
        <w:rPr>
          <w:rFonts w:ascii="Verdana" w:eastAsiaTheme="minorEastAsia" w:hAnsi="Verdana" w:cs="Arial"/>
          <w:b/>
          <w:sz w:val="19"/>
          <w:szCs w:val="19"/>
        </w:rPr>
      </w:pPr>
    </w:p>
    <w:p w14:paraId="005BD7B6" w14:textId="77777777" w:rsidR="00A14F70" w:rsidRDefault="00A14F70" w:rsidP="004749F5">
      <w:pPr>
        <w:spacing w:after="0"/>
        <w:jc w:val="center"/>
        <w:rPr>
          <w:rFonts w:ascii="Verdana" w:eastAsiaTheme="minorEastAsia" w:hAnsi="Verdana" w:cs="Arial"/>
          <w:b/>
          <w:sz w:val="19"/>
          <w:szCs w:val="19"/>
        </w:rPr>
      </w:pPr>
    </w:p>
    <w:p w14:paraId="5E6F1E68" w14:textId="77777777" w:rsidR="00A14F70" w:rsidRDefault="00A14F70" w:rsidP="004749F5">
      <w:pPr>
        <w:spacing w:after="0"/>
        <w:jc w:val="center"/>
        <w:rPr>
          <w:rFonts w:ascii="Verdana" w:eastAsiaTheme="minorEastAsia" w:hAnsi="Verdana" w:cs="Arial"/>
          <w:b/>
          <w:sz w:val="19"/>
          <w:szCs w:val="19"/>
        </w:rPr>
      </w:pPr>
    </w:p>
    <w:p w14:paraId="2C3D03A2" w14:textId="77777777" w:rsidR="00B9720D" w:rsidRDefault="00B9720D" w:rsidP="004749F5">
      <w:pPr>
        <w:spacing w:after="0"/>
        <w:jc w:val="center"/>
        <w:rPr>
          <w:rFonts w:ascii="Verdana" w:eastAsiaTheme="minorEastAsia" w:hAnsi="Verdana" w:cs="Arial"/>
          <w:b/>
          <w:sz w:val="19"/>
          <w:szCs w:val="19"/>
        </w:rPr>
      </w:pPr>
    </w:p>
    <w:p w14:paraId="20FF8C53" w14:textId="3BABBFF5" w:rsidR="0098735A" w:rsidRPr="00464420" w:rsidRDefault="0098735A" w:rsidP="004749F5">
      <w:pPr>
        <w:spacing w:after="0"/>
        <w:jc w:val="center"/>
        <w:rPr>
          <w:rFonts w:ascii="Verdana" w:eastAsiaTheme="minorEastAsia" w:hAnsi="Verdana" w:cs="Arial"/>
          <w:b/>
          <w:sz w:val="19"/>
          <w:szCs w:val="19"/>
          <w:lang w:val="id-ID"/>
        </w:rPr>
      </w:pPr>
      <w:r w:rsidRPr="00464420">
        <w:rPr>
          <w:rFonts w:ascii="Verdana" w:eastAsiaTheme="minorEastAsia" w:hAnsi="Verdana" w:cs="Arial"/>
          <w:b/>
          <w:sz w:val="19"/>
          <w:szCs w:val="19"/>
          <w:lang w:val="id-ID"/>
        </w:rPr>
        <w:lastRenderedPageBreak/>
        <w:t>Table</w:t>
      </w:r>
      <w:r w:rsidR="00144C41" w:rsidRPr="00464420">
        <w:rPr>
          <w:rFonts w:ascii="Verdana" w:eastAsiaTheme="minorEastAsia" w:hAnsi="Verdana" w:cs="Arial"/>
          <w:b/>
          <w:sz w:val="19"/>
          <w:szCs w:val="19"/>
          <w:lang w:val="id-ID"/>
        </w:rPr>
        <w:t xml:space="preserve"> </w:t>
      </w:r>
      <w:r w:rsidR="00144C41" w:rsidRPr="00464420">
        <w:rPr>
          <w:rFonts w:ascii="Verdana" w:eastAsiaTheme="minorEastAsia" w:hAnsi="Verdana" w:cs="Arial"/>
          <w:b/>
          <w:sz w:val="19"/>
          <w:szCs w:val="19"/>
        </w:rPr>
        <w:t>2</w:t>
      </w:r>
      <w:r w:rsidRPr="00464420">
        <w:rPr>
          <w:rFonts w:ascii="Verdana" w:eastAsiaTheme="minorEastAsia" w:hAnsi="Verdana" w:cs="Arial"/>
          <w:b/>
          <w:sz w:val="19"/>
          <w:szCs w:val="19"/>
          <w:lang w:val="id-ID"/>
        </w:rPr>
        <w:t>.</w:t>
      </w:r>
    </w:p>
    <w:p w14:paraId="06B71297" w14:textId="4A810C14" w:rsidR="0098735A" w:rsidRPr="00464420" w:rsidRDefault="0098735A" w:rsidP="004749F5">
      <w:pPr>
        <w:spacing w:after="0"/>
        <w:jc w:val="center"/>
        <w:rPr>
          <w:rFonts w:ascii="Verdana" w:eastAsiaTheme="minorEastAsia" w:hAnsi="Verdana" w:cs="Arial"/>
          <w:b/>
          <w:sz w:val="19"/>
          <w:szCs w:val="19"/>
        </w:rPr>
      </w:pPr>
      <w:r w:rsidRPr="00464420">
        <w:rPr>
          <w:rFonts w:ascii="Verdana" w:eastAsiaTheme="minorEastAsia" w:hAnsi="Verdana" w:cs="Arial"/>
          <w:b/>
          <w:sz w:val="19"/>
          <w:szCs w:val="19"/>
        </w:rPr>
        <w:t>R</w:t>
      </w:r>
      <w:r w:rsidR="004749F5" w:rsidRPr="00464420">
        <w:rPr>
          <w:rFonts w:ascii="Verdana" w:eastAsiaTheme="minorEastAsia" w:hAnsi="Verdana" w:cs="Arial"/>
          <w:b/>
          <w:sz w:val="19"/>
          <w:szCs w:val="19"/>
        </w:rPr>
        <w:t>egression Result of Dengue</w:t>
      </w:r>
      <w:r w:rsidR="00586DFD">
        <w:rPr>
          <w:rFonts w:ascii="Verdana" w:eastAsiaTheme="minorEastAsia" w:hAnsi="Verdana" w:cs="Arial"/>
          <w:b/>
          <w:sz w:val="19"/>
          <w:szCs w:val="19"/>
        </w:rPr>
        <w:t>, Diarrhea, TBC</w:t>
      </w:r>
      <w:r w:rsidR="004749F5" w:rsidRPr="00464420">
        <w:rPr>
          <w:rFonts w:ascii="Verdana" w:eastAsiaTheme="minorEastAsia" w:hAnsi="Verdana" w:cs="Arial"/>
          <w:b/>
          <w:sz w:val="19"/>
          <w:szCs w:val="19"/>
        </w:rPr>
        <w:t xml:space="preserve"> cases</w:t>
      </w:r>
    </w:p>
    <w:tbl>
      <w:tblPr>
        <w:tblW w:w="8312" w:type="dxa"/>
        <w:jc w:val="center"/>
        <w:tblInd w:w="93" w:type="dxa"/>
        <w:tblLook w:val="04A0" w:firstRow="1" w:lastRow="0" w:firstColumn="1" w:lastColumn="0" w:noHBand="0" w:noVBand="1"/>
      </w:tblPr>
      <w:tblGrid>
        <w:gridCol w:w="2830"/>
        <w:gridCol w:w="577"/>
        <w:gridCol w:w="236"/>
        <w:gridCol w:w="1526"/>
        <w:gridCol w:w="1620"/>
        <w:gridCol w:w="1523"/>
      </w:tblGrid>
      <w:tr w:rsidR="00663D0C" w:rsidRPr="00464420" w14:paraId="2629A07F" w14:textId="1B2A3CE6" w:rsidTr="00FF4A94">
        <w:trPr>
          <w:trHeight w:val="315"/>
          <w:jc w:val="center"/>
        </w:trPr>
        <w:tc>
          <w:tcPr>
            <w:tcW w:w="2830" w:type="dxa"/>
            <w:tcBorders>
              <w:top w:val="single" w:sz="8" w:space="0" w:color="auto"/>
              <w:left w:val="nil"/>
              <w:bottom w:val="nil"/>
              <w:right w:val="nil"/>
            </w:tcBorders>
            <w:shd w:val="clear" w:color="auto" w:fill="auto"/>
            <w:noWrap/>
            <w:vAlign w:val="center"/>
            <w:hideMark/>
          </w:tcPr>
          <w:p w14:paraId="3850D471"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 </w:t>
            </w:r>
          </w:p>
        </w:tc>
        <w:tc>
          <w:tcPr>
            <w:tcW w:w="577" w:type="dxa"/>
            <w:tcBorders>
              <w:top w:val="single" w:sz="8" w:space="0" w:color="auto"/>
              <w:left w:val="nil"/>
              <w:bottom w:val="single" w:sz="4" w:space="0" w:color="auto"/>
              <w:right w:val="nil"/>
            </w:tcBorders>
            <w:vAlign w:val="center"/>
          </w:tcPr>
          <w:p w14:paraId="1B8DC9C2" w14:textId="6BB039B1" w:rsidR="00663D0C" w:rsidRPr="00464420" w:rsidRDefault="00663D0C" w:rsidP="0098735A">
            <w:pPr>
              <w:pStyle w:val="NoSpacing"/>
              <w:rPr>
                <w:rFonts w:ascii="Verdana" w:hAnsi="Verdana"/>
                <w:sz w:val="16"/>
                <w:szCs w:val="16"/>
                <w:lang w:val="id-ID"/>
              </w:rPr>
            </w:pPr>
            <w:r w:rsidRPr="00464420">
              <w:rPr>
                <w:rFonts w:ascii="Verdana" w:hAnsi="Verdana"/>
                <w:sz w:val="16"/>
                <w:szCs w:val="16"/>
                <w:lang w:val="id-ID"/>
              </w:rPr>
              <w:t> </w:t>
            </w:r>
          </w:p>
        </w:tc>
        <w:tc>
          <w:tcPr>
            <w:tcW w:w="236" w:type="dxa"/>
            <w:tcBorders>
              <w:top w:val="single" w:sz="8" w:space="0" w:color="auto"/>
              <w:left w:val="nil"/>
              <w:bottom w:val="single" w:sz="4" w:space="0" w:color="auto"/>
              <w:right w:val="nil"/>
            </w:tcBorders>
            <w:shd w:val="clear" w:color="auto" w:fill="auto"/>
            <w:noWrap/>
            <w:vAlign w:val="center"/>
          </w:tcPr>
          <w:p w14:paraId="0FF2C5A0" w14:textId="1B6CAD3D" w:rsidR="00663D0C" w:rsidRPr="00464420" w:rsidRDefault="00663D0C" w:rsidP="0098735A">
            <w:pPr>
              <w:pStyle w:val="NoSpacing"/>
              <w:rPr>
                <w:rFonts w:ascii="Verdana" w:hAnsi="Verdana"/>
                <w:sz w:val="16"/>
                <w:szCs w:val="16"/>
              </w:rPr>
            </w:pPr>
          </w:p>
        </w:tc>
        <w:tc>
          <w:tcPr>
            <w:tcW w:w="1526" w:type="dxa"/>
            <w:tcBorders>
              <w:top w:val="single" w:sz="8" w:space="0" w:color="auto"/>
              <w:left w:val="nil"/>
              <w:bottom w:val="single" w:sz="8" w:space="0" w:color="auto"/>
              <w:right w:val="nil"/>
            </w:tcBorders>
            <w:shd w:val="clear" w:color="auto" w:fill="auto"/>
            <w:noWrap/>
            <w:vAlign w:val="center"/>
            <w:hideMark/>
          </w:tcPr>
          <w:p w14:paraId="6F94450B"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Dengue cases</w:t>
            </w:r>
          </w:p>
        </w:tc>
        <w:tc>
          <w:tcPr>
            <w:tcW w:w="1620" w:type="dxa"/>
            <w:tcBorders>
              <w:top w:val="single" w:sz="8" w:space="0" w:color="auto"/>
              <w:left w:val="nil"/>
              <w:bottom w:val="single" w:sz="8" w:space="0" w:color="auto"/>
              <w:right w:val="nil"/>
            </w:tcBorders>
            <w:vAlign w:val="center"/>
          </w:tcPr>
          <w:p w14:paraId="646C5BE1" w14:textId="4B10C7F5"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Diarrhea cases</w:t>
            </w:r>
          </w:p>
        </w:tc>
        <w:tc>
          <w:tcPr>
            <w:tcW w:w="1523" w:type="dxa"/>
            <w:tcBorders>
              <w:top w:val="single" w:sz="8" w:space="0" w:color="auto"/>
              <w:left w:val="nil"/>
              <w:bottom w:val="single" w:sz="8" w:space="0" w:color="auto"/>
              <w:right w:val="nil"/>
            </w:tcBorders>
            <w:vAlign w:val="center"/>
          </w:tcPr>
          <w:p w14:paraId="3E6F1261" w14:textId="4F2C6817"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TBC cases</w:t>
            </w:r>
          </w:p>
        </w:tc>
      </w:tr>
      <w:tr w:rsidR="00663D0C" w:rsidRPr="00464420" w14:paraId="00997B88" w14:textId="4620F060" w:rsidTr="00FF4A94">
        <w:trPr>
          <w:trHeight w:val="300"/>
          <w:jc w:val="center"/>
        </w:trPr>
        <w:tc>
          <w:tcPr>
            <w:tcW w:w="2830" w:type="dxa"/>
            <w:tcBorders>
              <w:top w:val="single" w:sz="8" w:space="0" w:color="auto"/>
              <w:left w:val="nil"/>
              <w:bottom w:val="nil"/>
              <w:right w:val="nil"/>
            </w:tcBorders>
            <w:shd w:val="clear" w:color="auto" w:fill="auto"/>
            <w:noWrap/>
            <w:vAlign w:val="center"/>
            <w:hideMark/>
          </w:tcPr>
          <w:p w14:paraId="25FEF863" w14:textId="27C9D419" w:rsidR="00663D0C" w:rsidRPr="00464420" w:rsidRDefault="00663D0C" w:rsidP="0098735A">
            <w:pPr>
              <w:pStyle w:val="NoSpacing"/>
              <w:rPr>
                <w:rFonts w:ascii="Verdana" w:hAnsi="Verdana"/>
                <w:sz w:val="16"/>
                <w:szCs w:val="16"/>
              </w:rPr>
            </w:pPr>
            <w:proofErr w:type="spellStart"/>
            <w:r w:rsidRPr="00464420">
              <w:rPr>
                <w:rFonts w:ascii="Verdana" w:hAnsi="Verdana"/>
                <w:sz w:val="16"/>
                <w:szCs w:val="16"/>
              </w:rPr>
              <w:t>Health_Spending</w:t>
            </w:r>
            <w:proofErr w:type="spellEnd"/>
          </w:p>
        </w:tc>
        <w:tc>
          <w:tcPr>
            <w:tcW w:w="577" w:type="dxa"/>
            <w:tcBorders>
              <w:top w:val="single" w:sz="4" w:space="0" w:color="auto"/>
              <w:left w:val="nil"/>
              <w:bottom w:val="nil"/>
              <w:right w:val="nil"/>
            </w:tcBorders>
            <w:vAlign w:val="center"/>
          </w:tcPr>
          <w:p w14:paraId="77365790" w14:textId="62A2203A" w:rsidR="00663D0C" w:rsidRDefault="00663D0C" w:rsidP="0098735A">
            <w:pPr>
              <w:pStyle w:val="NoSpacing"/>
              <w:rPr>
                <w:rFonts w:ascii="Verdana" w:hAnsi="Verdana"/>
                <w:sz w:val="16"/>
                <w:szCs w:val="16"/>
              </w:rPr>
            </w:pPr>
            <w:proofErr w:type="spellStart"/>
            <w:r>
              <w:rPr>
                <w:rFonts w:ascii="Verdana" w:hAnsi="Verdana"/>
                <w:sz w:val="16"/>
                <w:szCs w:val="16"/>
              </w:rPr>
              <w:t>Coef</w:t>
            </w:r>
            <w:proofErr w:type="spellEnd"/>
          </w:p>
        </w:tc>
        <w:tc>
          <w:tcPr>
            <w:tcW w:w="236" w:type="dxa"/>
            <w:tcBorders>
              <w:top w:val="single" w:sz="4" w:space="0" w:color="auto"/>
              <w:left w:val="nil"/>
              <w:bottom w:val="nil"/>
              <w:right w:val="nil"/>
            </w:tcBorders>
            <w:shd w:val="clear" w:color="auto" w:fill="auto"/>
            <w:noWrap/>
            <w:vAlign w:val="center"/>
          </w:tcPr>
          <w:p w14:paraId="418BB60C" w14:textId="333EBD26" w:rsidR="00663D0C" w:rsidRPr="00464420" w:rsidRDefault="00663D0C" w:rsidP="0098735A">
            <w:pPr>
              <w:pStyle w:val="NoSpacing"/>
              <w:rPr>
                <w:rFonts w:ascii="Verdana" w:hAnsi="Verdana"/>
                <w:sz w:val="16"/>
                <w:szCs w:val="16"/>
              </w:rPr>
            </w:pPr>
          </w:p>
        </w:tc>
        <w:tc>
          <w:tcPr>
            <w:tcW w:w="1526" w:type="dxa"/>
            <w:tcBorders>
              <w:top w:val="nil"/>
              <w:left w:val="nil"/>
              <w:bottom w:val="nil"/>
              <w:right w:val="nil"/>
            </w:tcBorders>
            <w:shd w:val="clear" w:color="auto" w:fill="auto"/>
            <w:noWrap/>
            <w:vAlign w:val="center"/>
            <w:hideMark/>
          </w:tcPr>
          <w:p w14:paraId="27D3BA29"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-0.2676677</w:t>
            </w:r>
          </w:p>
        </w:tc>
        <w:tc>
          <w:tcPr>
            <w:tcW w:w="1620" w:type="dxa"/>
            <w:tcBorders>
              <w:top w:val="nil"/>
              <w:left w:val="nil"/>
              <w:bottom w:val="nil"/>
              <w:right w:val="nil"/>
            </w:tcBorders>
            <w:vAlign w:val="center"/>
          </w:tcPr>
          <w:p w14:paraId="262E8D64" w14:textId="5DD3E91B"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-1.50309</w:t>
            </w:r>
          </w:p>
        </w:tc>
        <w:tc>
          <w:tcPr>
            <w:tcW w:w="1523" w:type="dxa"/>
            <w:tcBorders>
              <w:top w:val="nil"/>
              <w:left w:val="nil"/>
              <w:bottom w:val="nil"/>
              <w:right w:val="nil"/>
            </w:tcBorders>
            <w:vAlign w:val="center"/>
          </w:tcPr>
          <w:p w14:paraId="78B2643E" w14:textId="75A215D7"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-0.2616673</w:t>
            </w:r>
          </w:p>
        </w:tc>
      </w:tr>
      <w:tr w:rsidR="00663D0C" w:rsidRPr="00464420" w14:paraId="2A5A4305" w14:textId="6EBCA8C3" w:rsidTr="00FF4A94">
        <w:trPr>
          <w:trHeight w:val="315"/>
          <w:jc w:val="center"/>
        </w:trPr>
        <w:tc>
          <w:tcPr>
            <w:tcW w:w="2830" w:type="dxa"/>
            <w:tcBorders>
              <w:top w:val="nil"/>
              <w:left w:val="nil"/>
              <w:bottom w:val="nil"/>
              <w:right w:val="nil"/>
            </w:tcBorders>
            <w:shd w:val="clear" w:color="auto" w:fill="auto"/>
            <w:noWrap/>
            <w:vAlign w:val="bottom"/>
            <w:hideMark/>
          </w:tcPr>
          <w:p w14:paraId="1B24D292" w14:textId="7C12AA8C" w:rsidR="00663D0C" w:rsidRPr="00464420" w:rsidRDefault="00663D0C" w:rsidP="00465E8C">
            <w:pPr>
              <w:pStyle w:val="NoSpacing"/>
              <w:jc w:val="center"/>
              <w:rPr>
                <w:rFonts w:ascii="Verdana" w:hAnsi="Verdana" w:cs="Calibri"/>
                <w:sz w:val="16"/>
                <w:szCs w:val="16"/>
              </w:rPr>
            </w:pPr>
          </w:p>
        </w:tc>
        <w:tc>
          <w:tcPr>
            <w:tcW w:w="577" w:type="dxa"/>
            <w:tcBorders>
              <w:top w:val="nil"/>
              <w:left w:val="nil"/>
              <w:bottom w:val="single" w:sz="4" w:space="0" w:color="auto"/>
              <w:right w:val="nil"/>
            </w:tcBorders>
            <w:vAlign w:val="bottom"/>
          </w:tcPr>
          <w:p w14:paraId="38853899" w14:textId="00BB44B0" w:rsidR="00663D0C" w:rsidRDefault="00663D0C" w:rsidP="00DC5919">
            <w:pPr>
              <w:pStyle w:val="NoSpacing"/>
              <w:jc w:val="center"/>
              <w:rPr>
                <w:rFonts w:ascii="Verdana" w:hAnsi="Verdana" w:cs="Calibri"/>
                <w:sz w:val="16"/>
                <w:szCs w:val="16"/>
              </w:rPr>
            </w:pPr>
            <w:r>
              <w:rPr>
                <w:rFonts w:ascii="Verdana" w:hAnsi="Verdana" w:cs="Calibri"/>
                <w:sz w:val="16"/>
                <w:szCs w:val="16"/>
              </w:rPr>
              <w:t>t</w:t>
            </w:r>
          </w:p>
        </w:tc>
        <w:tc>
          <w:tcPr>
            <w:tcW w:w="236" w:type="dxa"/>
            <w:tcBorders>
              <w:top w:val="nil"/>
              <w:left w:val="nil"/>
              <w:bottom w:val="single" w:sz="4" w:space="0" w:color="auto"/>
              <w:right w:val="nil"/>
            </w:tcBorders>
            <w:shd w:val="clear" w:color="auto" w:fill="auto"/>
            <w:noWrap/>
            <w:vAlign w:val="bottom"/>
          </w:tcPr>
          <w:p w14:paraId="6EAEED6D" w14:textId="08EB394B" w:rsidR="00663D0C" w:rsidRPr="00464420" w:rsidRDefault="00663D0C" w:rsidP="00DC5919">
            <w:pPr>
              <w:pStyle w:val="NoSpacing"/>
              <w:jc w:val="center"/>
              <w:rPr>
                <w:rFonts w:ascii="Verdana" w:hAnsi="Verdana" w:cs="Calibri"/>
                <w:sz w:val="16"/>
                <w:szCs w:val="16"/>
              </w:rPr>
            </w:pPr>
          </w:p>
        </w:tc>
        <w:tc>
          <w:tcPr>
            <w:tcW w:w="1526" w:type="dxa"/>
            <w:tcBorders>
              <w:top w:val="nil"/>
              <w:left w:val="nil"/>
              <w:bottom w:val="single" w:sz="8" w:space="0" w:color="auto"/>
              <w:right w:val="nil"/>
            </w:tcBorders>
            <w:shd w:val="clear" w:color="auto" w:fill="auto"/>
            <w:noWrap/>
            <w:vAlign w:val="center"/>
            <w:hideMark/>
          </w:tcPr>
          <w:p w14:paraId="47D75164"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(-0.70)</w:t>
            </w:r>
          </w:p>
        </w:tc>
        <w:tc>
          <w:tcPr>
            <w:tcW w:w="1620" w:type="dxa"/>
            <w:tcBorders>
              <w:top w:val="nil"/>
              <w:left w:val="nil"/>
              <w:bottom w:val="single" w:sz="8" w:space="0" w:color="auto"/>
              <w:right w:val="nil"/>
            </w:tcBorders>
            <w:vAlign w:val="center"/>
          </w:tcPr>
          <w:p w14:paraId="1E3E3CF7" w14:textId="25A28840"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(-0.13)</w:t>
            </w:r>
          </w:p>
        </w:tc>
        <w:tc>
          <w:tcPr>
            <w:tcW w:w="1523" w:type="dxa"/>
            <w:tcBorders>
              <w:top w:val="nil"/>
              <w:left w:val="nil"/>
              <w:bottom w:val="single" w:sz="8" w:space="0" w:color="auto"/>
              <w:right w:val="nil"/>
            </w:tcBorders>
            <w:vAlign w:val="center"/>
          </w:tcPr>
          <w:p w14:paraId="56A345FD" w14:textId="662CD0FD"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(-0.43)</w:t>
            </w:r>
          </w:p>
        </w:tc>
      </w:tr>
      <w:tr w:rsidR="00663D0C" w:rsidRPr="00464420" w14:paraId="7AA9C310" w14:textId="50C0CC35" w:rsidTr="00FF4A94">
        <w:trPr>
          <w:trHeight w:val="300"/>
          <w:jc w:val="center"/>
        </w:trPr>
        <w:tc>
          <w:tcPr>
            <w:tcW w:w="2830" w:type="dxa"/>
            <w:tcBorders>
              <w:top w:val="single" w:sz="8" w:space="0" w:color="auto"/>
              <w:left w:val="nil"/>
              <w:bottom w:val="nil"/>
              <w:right w:val="nil"/>
            </w:tcBorders>
            <w:shd w:val="clear" w:color="auto" w:fill="auto"/>
            <w:noWrap/>
            <w:vAlign w:val="center"/>
            <w:hideMark/>
          </w:tcPr>
          <w:p w14:paraId="63C9DA8D" w14:textId="7AC7FDE8" w:rsidR="00663D0C" w:rsidRPr="00B9720D" w:rsidRDefault="00663D0C" w:rsidP="0098735A">
            <w:pPr>
              <w:pStyle w:val="NoSpacing"/>
              <w:rPr>
                <w:rFonts w:ascii="Verdana" w:hAnsi="Verdana"/>
                <w:sz w:val="16"/>
                <w:szCs w:val="16"/>
              </w:rPr>
            </w:pPr>
            <w:r w:rsidRPr="00464420">
              <w:rPr>
                <w:rFonts w:ascii="Verdana" w:hAnsi="Verdana"/>
                <w:sz w:val="16"/>
                <w:szCs w:val="16"/>
                <w:lang w:val="id-ID"/>
              </w:rPr>
              <w:t xml:space="preserve">Primary Health Care </w:t>
            </w:r>
            <w:r>
              <w:rPr>
                <w:rFonts w:ascii="Verdana" w:hAnsi="Verdana"/>
                <w:sz w:val="16"/>
                <w:szCs w:val="16"/>
              </w:rPr>
              <w:t>Number</w:t>
            </w:r>
          </w:p>
        </w:tc>
        <w:tc>
          <w:tcPr>
            <w:tcW w:w="577" w:type="dxa"/>
            <w:tcBorders>
              <w:top w:val="single" w:sz="4" w:space="0" w:color="auto"/>
              <w:left w:val="nil"/>
              <w:bottom w:val="nil"/>
              <w:right w:val="nil"/>
            </w:tcBorders>
            <w:vAlign w:val="center"/>
          </w:tcPr>
          <w:p w14:paraId="49E7C049" w14:textId="2B46D1D4" w:rsidR="00663D0C" w:rsidRDefault="00663D0C" w:rsidP="0098735A">
            <w:pPr>
              <w:pStyle w:val="NoSpacing"/>
              <w:rPr>
                <w:rFonts w:ascii="Verdana" w:hAnsi="Verdana"/>
                <w:sz w:val="16"/>
                <w:szCs w:val="16"/>
              </w:rPr>
            </w:pPr>
            <w:proofErr w:type="spellStart"/>
            <w:r>
              <w:rPr>
                <w:rFonts w:ascii="Verdana" w:hAnsi="Verdana"/>
                <w:sz w:val="16"/>
                <w:szCs w:val="16"/>
              </w:rPr>
              <w:t>Coef</w:t>
            </w:r>
            <w:proofErr w:type="spellEnd"/>
          </w:p>
        </w:tc>
        <w:tc>
          <w:tcPr>
            <w:tcW w:w="236" w:type="dxa"/>
            <w:tcBorders>
              <w:top w:val="single" w:sz="4" w:space="0" w:color="auto"/>
              <w:left w:val="nil"/>
              <w:bottom w:val="nil"/>
              <w:right w:val="nil"/>
            </w:tcBorders>
            <w:shd w:val="clear" w:color="auto" w:fill="auto"/>
            <w:noWrap/>
            <w:vAlign w:val="center"/>
          </w:tcPr>
          <w:p w14:paraId="51D234DA" w14:textId="4301A798" w:rsidR="00663D0C" w:rsidRPr="00464420" w:rsidRDefault="00663D0C" w:rsidP="0098735A">
            <w:pPr>
              <w:pStyle w:val="NoSpacing"/>
              <w:rPr>
                <w:rFonts w:ascii="Verdana" w:hAnsi="Verdana"/>
                <w:sz w:val="16"/>
                <w:szCs w:val="16"/>
              </w:rPr>
            </w:pPr>
          </w:p>
        </w:tc>
        <w:tc>
          <w:tcPr>
            <w:tcW w:w="1526" w:type="dxa"/>
            <w:tcBorders>
              <w:top w:val="nil"/>
              <w:left w:val="nil"/>
              <w:bottom w:val="nil"/>
              <w:right w:val="nil"/>
            </w:tcBorders>
            <w:shd w:val="clear" w:color="auto" w:fill="auto"/>
            <w:noWrap/>
            <w:vAlign w:val="center"/>
            <w:hideMark/>
          </w:tcPr>
          <w:p w14:paraId="0842830A"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-7.480666 ***</w:t>
            </w:r>
          </w:p>
        </w:tc>
        <w:tc>
          <w:tcPr>
            <w:tcW w:w="1620" w:type="dxa"/>
            <w:tcBorders>
              <w:top w:val="nil"/>
              <w:left w:val="nil"/>
              <w:bottom w:val="nil"/>
              <w:right w:val="nil"/>
            </w:tcBorders>
            <w:vAlign w:val="center"/>
          </w:tcPr>
          <w:p w14:paraId="531572D0" w14:textId="6751D81D"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-230.8925 ***</w:t>
            </w:r>
          </w:p>
        </w:tc>
        <w:tc>
          <w:tcPr>
            <w:tcW w:w="1523" w:type="dxa"/>
            <w:tcBorders>
              <w:top w:val="nil"/>
              <w:left w:val="nil"/>
              <w:bottom w:val="nil"/>
              <w:right w:val="nil"/>
            </w:tcBorders>
            <w:vAlign w:val="center"/>
          </w:tcPr>
          <w:p w14:paraId="0F66EA2B" w14:textId="605A6BB9"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-15.04507 ***</w:t>
            </w:r>
          </w:p>
        </w:tc>
      </w:tr>
      <w:tr w:rsidR="00663D0C" w:rsidRPr="00464420" w14:paraId="17B47EE0" w14:textId="7A323016" w:rsidTr="00FF4A94">
        <w:trPr>
          <w:trHeight w:val="315"/>
          <w:jc w:val="center"/>
        </w:trPr>
        <w:tc>
          <w:tcPr>
            <w:tcW w:w="2830" w:type="dxa"/>
            <w:tcBorders>
              <w:top w:val="nil"/>
              <w:left w:val="nil"/>
              <w:bottom w:val="nil"/>
              <w:right w:val="nil"/>
            </w:tcBorders>
            <w:shd w:val="clear" w:color="auto" w:fill="auto"/>
            <w:noWrap/>
            <w:vAlign w:val="bottom"/>
            <w:hideMark/>
          </w:tcPr>
          <w:p w14:paraId="5DAD3200" w14:textId="3A6B094B" w:rsidR="00663D0C" w:rsidRPr="00464420" w:rsidRDefault="00663D0C" w:rsidP="00465E8C">
            <w:pPr>
              <w:pStyle w:val="NoSpacing"/>
              <w:jc w:val="center"/>
              <w:rPr>
                <w:rFonts w:ascii="Verdana" w:hAnsi="Verdana" w:cs="Calibri"/>
                <w:sz w:val="16"/>
                <w:szCs w:val="16"/>
              </w:rPr>
            </w:pPr>
          </w:p>
        </w:tc>
        <w:tc>
          <w:tcPr>
            <w:tcW w:w="577" w:type="dxa"/>
            <w:tcBorders>
              <w:top w:val="nil"/>
              <w:left w:val="nil"/>
              <w:bottom w:val="single" w:sz="4" w:space="0" w:color="auto"/>
              <w:right w:val="nil"/>
            </w:tcBorders>
            <w:vAlign w:val="bottom"/>
          </w:tcPr>
          <w:p w14:paraId="5A53FE63" w14:textId="56EC8D34" w:rsidR="00663D0C" w:rsidRDefault="00663D0C" w:rsidP="00DC5919">
            <w:pPr>
              <w:pStyle w:val="NoSpacing"/>
              <w:jc w:val="center"/>
              <w:rPr>
                <w:rFonts w:ascii="Verdana" w:hAnsi="Verdana" w:cs="Calibri"/>
                <w:sz w:val="16"/>
                <w:szCs w:val="16"/>
              </w:rPr>
            </w:pPr>
            <w:r>
              <w:rPr>
                <w:rFonts w:ascii="Verdana" w:hAnsi="Verdana" w:cs="Calibri"/>
                <w:sz w:val="16"/>
                <w:szCs w:val="16"/>
              </w:rPr>
              <w:t>t</w:t>
            </w:r>
          </w:p>
        </w:tc>
        <w:tc>
          <w:tcPr>
            <w:tcW w:w="236" w:type="dxa"/>
            <w:tcBorders>
              <w:top w:val="nil"/>
              <w:left w:val="nil"/>
              <w:bottom w:val="single" w:sz="4" w:space="0" w:color="auto"/>
              <w:right w:val="nil"/>
            </w:tcBorders>
            <w:shd w:val="clear" w:color="auto" w:fill="auto"/>
            <w:noWrap/>
            <w:vAlign w:val="bottom"/>
          </w:tcPr>
          <w:p w14:paraId="58640722" w14:textId="318758A6" w:rsidR="00663D0C" w:rsidRPr="00464420" w:rsidRDefault="00663D0C" w:rsidP="00DC5919">
            <w:pPr>
              <w:pStyle w:val="NoSpacing"/>
              <w:jc w:val="center"/>
              <w:rPr>
                <w:rFonts w:ascii="Verdana" w:hAnsi="Verdana" w:cs="Calibri"/>
                <w:sz w:val="16"/>
                <w:szCs w:val="16"/>
              </w:rPr>
            </w:pPr>
          </w:p>
        </w:tc>
        <w:tc>
          <w:tcPr>
            <w:tcW w:w="1526" w:type="dxa"/>
            <w:tcBorders>
              <w:top w:val="nil"/>
              <w:left w:val="nil"/>
              <w:bottom w:val="single" w:sz="8" w:space="0" w:color="auto"/>
              <w:right w:val="nil"/>
            </w:tcBorders>
            <w:shd w:val="clear" w:color="auto" w:fill="auto"/>
            <w:noWrap/>
            <w:vAlign w:val="center"/>
            <w:hideMark/>
          </w:tcPr>
          <w:p w14:paraId="10729B17"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(-2.60)</w:t>
            </w:r>
          </w:p>
        </w:tc>
        <w:tc>
          <w:tcPr>
            <w:tcW w:w="1620" w:type="dxa"/>
            <w:tcBorders>
              <w:top w:val="nil"/>
              <w:left w:val="nil"/>
              <w:bottom w:val="single" w:sz="8" w:space="0" w:color="auto"/>
              <w:right w:val="nil"/>
            </w:tcBorders>
            <w:vAlign w:val="center"/>
          </w:tcPr>
          <w:p w14:paraId="224E6ECA" w14:textId="49DCBAB5"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(-2.60)</w:t>
            </w:r>
          </w:p>
        </w:tc>
        <w:tc>
          <w:tcPr>
            <w:tcW w:w="1523" w:type="dxa"/>
            <w:tcBorders>
              <w:top w:val="nil"/>
              <w:left w:val="nil"/>
              <w:bottom w:val="single" w:sz="8" w:space="0" w:color="auto"/>
              <w:right w:val="nil"/>
            </w:tcBorders>
            <w:vAlign w:val="center"/>
          </w:tcPr>
          <w:p w14:paraId="726BAC3B" w14:textId="07E3950B"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(-3.29)</w:t>
            </w:r>
          </w:p>
        </w:tc>
      </w:tr>
      <w:tr w:rsidR="00663D0C" w:rsidRPr="00464420" w14:paraId="0AFA360B" w14:textId="27BB5762" w:rsidTr="00FF4A94">
        <w:trPr>
          <w:trHeight w:val="300"/>
          <w:jc w:val="center"/>
        </w:trPr>
        <w:tc>
          <w:tcPr>
            <w:tcW w:w="2830" w:type="dxa"/>
            <w:tcBorders>
              <w:top w:val="single" w:sz="8" w:space="0" w:color="auto"/>
              <w:left w:val="nil"/>
              <w:bottom w:val="nil"/>
              <w:right w:val="nil"/>
            </w:tcBorders>
            <w:shd w:val="clear" w:color="auto" w:fill="auto"/>
            <w:noWrap/>
            <w:vAlign w:val="center"/>
            <w:hideMark/>
          </w:tcPr>
          <w:p w14:paraId="02740FBA"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Population</w:t>
            </w:r>
          </w:p>
        </w:tc>
        <w:tc>
          <w:tcPr>
            <w:tcW w:w="577" w:type="dxa"/>
            <w:tcBorders>
              <w:top w:val="single" w:sz="4" w:space="0" w:color="auto"/>
              <w:left w:val="nil"/>
              <w:bottom w:val="nil"/>
              <w:right w:val="nil"/>
            </w:tcBorders>
            <w:vAlign w:val="center"/>
          </w:tcPr>
          <w:p w14:paraId="0108AD60" w14:textId="4BF1EB67" w:rsidR="00663D0C" w:rsidRDefault="00663D0C" w:rsidP="0098735A">
            <w:pPr>
              <w:pStyle w:val="NoSpacing"/>
              <w:rPr>
                <w:rFonts w:ascii="Verdana" w:hAnsi="Verdana"/>
                <w:sz w:val="16"/>
                <w:szCs w:val="16"/>
              </w:rPr>
            </w:pPr>
            <w:proofErr w:type="spellStart"/>
            <w:r>
              <w:rPr>
                <w:rFonts w:ascii="Verdana" w:hAnsi="Verdana"/>
                <w:sz w:val="16"/>
                <w:szCs w:val="16"/>
              </w:rPr>
              <w:t>Coef</w:t>
            </w:r>
            <w:proofErr w:type="spellEnd"/>
          </w:p>
        </w:tc>
        <w:tc>
          <w:tcPr>
            <w:tcW w:w="236" w:type="dxa"/>
            <w:tcBorders>
              <w:top w:val="single" w:sz="4" w:space="0" w:color="auto"/>
              <w:left w:val="nil"/>
              <w:bottom w:val="nil"/>
              <w:right w:val="nil"/>
            </w:tcBorders>
            <w:shd w:val="clear" w:color="auto" w:fill="auto"/>
            <w:noWrap/>
            <w:vAlign w:val="center"/>
          </w:tcPr>
          <w:p w14:paraId="398BF676" w14:textId="30609765" w:rsidR="00663D0C" w:rsidRPr="00464420" w:rsidRDefault="00663D0C" w:rsidP="0098735A">
            <w:pPr>
              <w:pStyle w:val="NoSpacing"/>
              <w:rPr>
                <w:rFonts w:ascii="Verdana" w:hAnsi="Verdana"/>
                <w:sz w:val="16"/>
                <w:szCs w:val="16"/>
              </w:rPr>
            </w:pPr>
          </w:p>
        </w:tc>
        <w:tc>
          <w:tcPr>
            <w:tcW w:w="1526" w:type="dxa"/>
            <w:tcBorders>
              <w:top w:val="nil"/>
              <w:left w:val="nil"/>
              <w:bottom w:val="nil"/>
              <w:right w:val="nil"/>
            </w:tcBorders>
            <w:shd w:val="clear" w:color="auto" w:fill="auto"/>
            <w:noWrap/>
            <w:vAlign w:val="center"/>
            <w:hideMark/>
          </w:tcPr>
          <w:p w14:paraId="497AE6EF"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0.0006893***</w:t>
            </w:r>
          </w:p>
        </w:tc>
        <w:tc>
          <w:tcPr>
            <w:tcW w:w="1620" w:type="dxa"/>
            <w:tcBorders>
              <w:top w:val="nil"/>
              <w:left w:val="nil"/>
              <w:bottom w:val="nil"/>
              <w:right w:val="nil"/>
            </w:tcBorders>
            <w:vAlign w:val="center"/>
          </w:tcPr>
          <w:p w14:paraId="46C298CC" w14:textId="33F39A5B"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0.0238466***</w:t>
            </w:r>
          </w:p>
        </w:tc>
        <w:tc>
          <w:tcPr>
            <w:tcW w:w="1523" w:type="dxa"/>
            <w:tcBorders>
              <w:top w:val="nil"/>
              <w:left w:val="nil"/>
              <w:bottom w:val="nil"/>
              <w:right w:val="nil"/>
            </w:tcBorders>
            <w:vAlign w:val="center"/>
          </w:tcPr>
          <w:p w14:paraId="59141F7E" w14:textId="40D96BA3"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0.0014432***</w:t>
            </w:r>
          </w:p>
        </w:tc>
      </w:tr>
      <w:tr w:rsidR="00663D0C" w:rsidRPr="00464420" w14:paraId="35AB8593" w14:textId="74091D41" w:rsidTr="00FF4A94">
        <w:trPr>
          <w:trHeight w:val="315"/>
          <w:jc w:val="center"/>
        </w:trPr>
        <w:tc>
          <w:tcPr>
            <w:tcW w:w="2830" w:type="dxa"/>
            <w:tcBorders>
              <w:top w:val="nil"/>
              <w:left w:val="nil"/>
              <w:bottom w:val="nil"/>
              <w:right w:val="nil"/>
            </w:tcBorders>
            <w:shd w:val="clear" w:color="auto" w:fill="auto"/>
            <w:noWrap/>
            <w:vAlign w:val="bottom"/>
            <w:hideMark/>
          </w:tcPr>
          <w:p w14:paraId="3BF807F5" w14:textId="72D10DDA" w:rsidR="00663D0C" w:rsidRPr="00464420" w:rsidRDefault="00663D0C" w:rsidP="00465E8C">
            <w:pPr>
              <w:pStyle w:val="NoSpacing"/>
              <w:jc w:val="center"/>
              <w:rPr>
                <w:rFonts w:ascii="Verdana" w:hAnsi="Verdana" w:cs="Calibri"/>
                <w:sz w:val="16"/>
                <w:szCs w:val="16"/>
              </w:rPr>
            </w:pPr>
          </w:p>
        </w:tc>
        <w:tc>
          <w:tcPr>
            <w:tcW w:w="577" w:type="dxa"/>
            <w:tcBorders>
              <w:top w:val="nil"/>
              <w:left w:val="nil"/>
              <w:bottom w:val="single" w:sz="4" w:space="0" w:color="auto"/>
              <w:right w:val="nil"/>
            </w:tcBorders>
            <w:vAlign w:val="bottom"/>
          </w:tcPr>
          <w:p w14:paraId="4128FF1D" w14:textId="1AE0B90B" w:rsidR="00663D0C" w:rsidRDefault="00663D0C" w:rsidP="00DC5919">
            <w:pPr>
              <w:pStyle w:val="NoSpacing"/>
              <w:jc w:val="center"/>
              <w:rPr>
                <w:rFonts w:ascii="Verdana" w:hAnsi="Verdana" w:cs="Calibri"/>
                <w:sz w:val="16"/>
                <w:szCs w:val="16"/>
              </w:rPr>
            </w:pPr>
            <w:r>
              <w:rPr>
                <w:rFonts w:ascii="Verdana" w:hAnsi="Verdana" w:cs="Calibri"/>
                <w:sz w:val="16"/>
                <w:szCs w:val="16"/>
              </w:rPr>
              <w:t>t</w:t>
            </w:r>
          </w:p>
        </w:tc>
        <w:tc>
          <w:tcPr>
            <w:tcW w:w="236" w:type="dxa"/>
            <w:tcBorders>
              <w:top w:val="nil"/>
              <w:left w:val="nil"/>
              <w:bottom w:val="single" w:sz="4" w:space="0" w:color="auto"/>
              <w:right w:val="nil"/>
            </w:tcBorders>
            <w:shd w:val="clear" w:color="auto" w:fill="auto"/>
            <w:noWrap/>
            <w:vAlign w:val="bottom"/>
          </w:tcPr>
          <w:p w14:paraId="3556122E" w14:textId="049CD549" w:rsidR="00663D0C" w:rsidRPr="00464420" w:rsidRDefault="00663D0C" w:rsidP="00DC5919">
            <w:pPr>
              <w:pStyle w:val="NoSpacing"/>
              <w:jc w:val="center"/>
              <w:rPr>
                <w:rFonts w:ascii="Verdana" w:hAnsi="Verdana" w:cs="Calibri"/>
                <w:sz w:val="16"/>
                <w:szCs w:val="16"/>
              </w:rPr>
            </w:pPr>
          </w:p>
        </w:tc>
        <w:tc>
          <w:tcPr>
            <w:tcW w:w="1526" w:type="dxa"/>
            <w:tcBorders>
              <w:top w:val="nil"/>
              <w:left w:val="nil"/>
              <w:bottom w:val="single" w:sz="8" w:space="0" w:color="auto"/>
              <w:right w:val="nil"/>
            </w:tcBorders>
            <w:shd w:val="clear" w:color="auto" w:fill="auto"/>
            <w:noWrap/>
            <w:vAlign w:val="center"/>
            <w:hideMark/>
          </w:tcPr>
          <w:p w14:paraId="42042FD3"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9.25</w:t>
            </w:r>
          </w:p>
        </w:tc>
        <w:tc>
          <w:tcPr>
            <w:tcW w:w="1620" w:type="dxa"/>
            <w:tcBorders>
              <w:top w:val="nil"/>
              <w:left w:val="nil"/>
              <w:bottom w:val="single" w:sz="8" w:space="0" w:color="auto"/>
              <w:right w:val="nil"/>
            </w:tcBorders>
            <w:vAlign w:val="center"/>
          </w:tcPr>
          <w:p w14:paraId="0B7BC2BB" w14:textId="23755E6A"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10.38</w:t>
            </w:r>
          </w:p>
        </w:tc>
        <w:tc>
          <w:tcPr>
            <w:tcW w:w="1523" w:type="dxa"/>
            <w:tcBorders>
              <w:top w:val="nil"/>
              <w:left w:val="nil"/>
              <w:bottom w:val="single" w:sz="8" w:space="0" w:color="auto"/>
              <w:right w:val="nil"/>
            </w:tcBorders>
            <w:vAlign w:val="center"/>
          </w:tcPr>
          <w:p w14:paraId="1CB449D1" w14:textId="70031F3C"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12.2</w:t>
            </w:r>
          </w:p>
        </w:tc>
      </w:tr>
      <w:tr w:rsidR="00663D0C" w:rsidRPr="00464420" w14:paraId="699E6C6A" w14:textId="4B808C80" w:rsidTr="00FF4A94">
        <w:trPr>
          <w:trHeight w:val="300"/>
          <w:jc w:val="center"/>
        </w:trPr>
        <w:tc>
          <w:tcPr>
            <w:tcW w:w="2830" w:type="dxa"/>
            <w:tcBorders>
              <w:top w:val="single" w:sz="8" w:space="0" w:color="auto"/>
              <w:left w:val="nil"/>
              <w:bottom w:val="nil"/>
              <w:right w:val="nil"/>
            </w:tcBorders>
            <w:shd w:val="clear" w:color="auto" w:fill="auto"/>
            <w:noWrap/>
            <w:vAlign w:val="center"/>
            <w:hideMark/>
          </w:tcPr>
          <w:p w14:paraId="10301CAA"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Population density</w:t>
            </w:r>
          </w:p>
        </w:tc>
        <w:tc>
          <w:tcPr>
            <w:tcW w:w="577" w:type="dxa"/>
            <w:tcBorders>
              <w:top w:val="single" w:sz="4" w:space="0" w:color="auto"/>
              <w:left w:val="nil"/>
              <w:bottom w:val="nil"/>
              <w:right w:val="nil"/>
            </w:tcBorders>
            <w:vAlign w:val="center"/>
          </w:tcPr>
          <w:p w14:paraId="2C30F5F0" w14:textId="3A27A0AE" w:rsidR="00663D0C" w:rsidRDefault="00663D0C" w:rsidP="0098735A">
            <w:pPr>
              <w:pStyle w:val="NoSpacing"/>
              <w:rPr>
                <w:rFonts w:ascii="Verdana" w:hAnsi="Verdana"/>
                <w:sz w:val="16"/>
                <w:szCs w:val="16"/>
              </w:rPr>
            </w:pPr>
            <w:proofErr w:type="spellStart"/>
            <w:r>
              <w:rPr>
                <w:rFonts w:ascii="Verdana" w:hAnsi="Verdana"/>
                <w:sz w:val="16"/>
                <w:szCs w:val="16"/>
              </w:rPr>
              <w:t>Coef</w:t>
            </w:r>
            <w:proofErr w:type="spellEnd"/>
          </w:p>
        </w:tc>
        <w:tc>
          <w:tcPr>
            <w:tcW w:w="236" w:type="dxa"/>
            <w:tcBorders>
              <w:top w:val="single" w:sz="4" w:space="0" w:color="auto"/>
              <w:left w:val="nil"/>
              <w:bottom w:val="nil"/>
              <w:right w:val="nil"/>
            </w:tcBorders>
            <w:shd w:val="clear" w:color="auto" w:fill="auto"/>
            <w:noWrap/>
            <w:vAlign w:val="center"/>
          </w:tcPr>
          <w:p w14:paraId="20C86B71" w14:textId="0FAF11F6" w:rsidR="00663D0C" w:rsidRPr="00464420" w:rsidRDefault="00663D0C" w:rsidP="0098735A">
            <w:pPr>
              <w:pStyle w:val="NoSpacing"/>
              <w:rPr>
                <w:rFonts w:ascii="Verdana" w:hAnsi="Verdana"/>
                <w:sz w:val="16"/>
                <w:szCs w:val="16"/>
              </w:rPr>
            </w:pPr>
          </w:p>
        </w:tc>
        <w:tc>
          <w:tcPr>
            <w:tcW w:w="1526" w:type="dxa"/>
            <w:tcBorders>
              <w:top w:val="nil"/>
              <w:left w:val="nil"/>
              <w:bottom w:val="nil"/>
              <w:right w:val="nil"/>
            </w:tcBorders>
            <w:shd w:val="clear" w:color="auto" w:fill="auto"/>
            <w:noWrap/>
            <w:vAlign w:val="center"/>
            <w:hideMark/>
          </w:tcPr>
          <w:p w14:paraId="43CEA50B"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0.0267929*</w:t>
            </w:r>
          </w:p>
        </w:tc>
        <w:tc>
          <w:tcPr>
            <w:tcW w:w="1620" w:type="dxa"/>
            <w:tcBorders>
              <w:top w:val="nil"/>
              <w:left w:val="nil"/>
              <w:bottom w:val="nil"/>
              <w:right w:val="nil"/>
            </w:tcBorders>
            <w:vAlign w:val="center"/>
          </w:tcPr>
          <w:p w14:paraId="254D0E9C" w14:textId="68B3DBAD"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1.363839***</w:t>
            </w:r>
          </w:p>
        </w:tc>
        <w:tc>
          <w:tcPr>
            <w:tcW w:w="1523" w:type="dxa"/>
            <w:tcBorders>
              <w:top w:val="nil"/>
              <w:left w:val="nil"/>
              <w:bottom w:val="nil"/>
              <w:right w:val="nil"/>
            </w:tcBorders>
            <w:vAlign w:val="center"/>
          </w:tcPr>
          <w:p w14:paraId="1D9ADF79" w14:textId="42D22487"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0.0122552 **</w:t>
            </w:r>
          </w:p>
        </w:tc>
      </w:tr>
      <w:tr w:rsidR="00663D0C" w:rsidRPr="00464420" w14:paraId="28C8A462" w14:textId="597BD7AF" w:rsidTr="00FF4A94">
        <w:trPr>
          <w:trHeight w:val="315"/>
          <w:jc w:val="center"/>
        </w:trPr>
        <w:tc>
          <w:tcPr>
            <w:tcW w:w="2830" w:type="dxa"/>
            <w:tcBorders>
              <w:top w:val="nil"/>
              <w:left w:val="nil"/>
              <w:bottom w:val="single" w:sz="8" w:space="0" w:color="auto"/>
              <w:right w:val="nil"/>
            </w:tcBorders>
            <w:shd w:val="clear" w:color="auto" w:fill="auto"/>
            <w:noWrap/>
            <w:vAlign w:val="center"/>
            <w:hideMark/>
          </w:tcPr>
          <w:p w14:paraId="7DB1FB0A" w14:textId="327C6F19" w:rsidR="00663D0C" w:rsidRPr="00464420" w:rsidRDefault="00663D0C" w:rsidP="00465E8C">
            <w:pPr>
              <w:pStyle w:val="NoSpacing"/>
              <w:jc w:val="center"/>
              <w:rPr>
                <w:rFonts w:ascii="Verdana" w:hAnsi="Verdana"/>
                <w:sz w:val="16"/>
                <w:szCs w:val="16"/>
              </w:rPr>
            </w:pPr>
          </w:p>
        </w:tc>
        <w:tc>
          <w:tcPr>
            <w:tcW w:w="577" w:type="dxa"/>
            <w:tcBorders>
              <w:top w:val="nil"/>
              <w:left w:val="nil"/>
              <w:bottom w:val="single" w:sz="4" w:space="0" w:color="auto"/>
              <w:right w:val="nil"/>
            </w:tcBorders>
            <w:vAlign w:val="center"/>
          </w:tcPr>
          <w:p w14:paraId="592A75DE" w14:textId="1D4C0A35" w:rsidR="00663D0C" w:rsidRDefault="00663D0C" w:rsidP="00DC5919">
            <w:pPr>
              <w:pStyle w:val="NoSpacing"/>
              <w:jc w:val="center"/>
              <w:rPr>
                <w:rFonts w:ascii="Verdana" w:hAnsi="Verdana" w:cs="Calibri"/>
                <w:sz w:val="16"/>
                <w:szCs w:val="16"/>
              </w:rPr>
            </w:pPr>
            <w:r>
              <w:rPr>
                <w:rFonts w:ascii="Verdana" w:hAnsi="Verdana" w:cs="Calibri"/>
                <w:sz w:val="16"/>
                <w:szCs w:val="16"/>
              </w:rPr>
              <w:t>t</w:t>
            </w:r>
          </w:p>
        </w:tc>
        <w:tc>
          <w:tcPr>
            <w:tcW w:w="236" w:type="dxa"/>
            <w:tcBorders>
              <w:top w:val="nil"/>
              <w:left w:val="nil"/>
              <w:bottom w:val="single" w:sz="4" w:space="0" w:color="auto"/>
              <w:right w:val="nil"/>
            </w:tcBorders>
            <w:shd w:val="clear" w:color="auto" w:fill="auto"/>
            <w:noWrap/>
            <w:vAlign w:val="center"/>
          </w:tcPr>
          <w:p w14:paraId="2FF8BB59" w14:textId="4A50C5EF" w:rsidR="00663D0C" w:rsidRPr="00464420" w:rsidRDefault="00663D0C" w:rsidP="00DC5919">
            <w:pPr>
              <w:pStyle w:val="NoSpacing"/>
              <w:jc w:val="center"/>
              <w:rPr>
                <w:rFonts w:ascii="Verdana" w:hAnsi="Verdana"/>
                <w:sz w:val="16"/>
                <w:szCs w:val="16"/>
              </w:rPr>
            </w:pPr>
          </w:p>
        </w:tc>
        <w:tc>
          <w:tcPr>
            <w:tcW w:w="1526" w:type="dxa"/>
            <w:tcBorders>
              <w:top w:val="nil"/>
              <w:left w:val="nil"/>
              <w:bottom w:val="single" w:sz="8" w:space="0" w:color="auto"/>
              <w:right w:val="nil"/>
            </w:tcBorders>
            <w:shd w:val="clear" w:color="auto" w:fill="auto"/>
            <w:noWrap/>
            <w:vAlign w:val="center"/>
            <w:hideMark/>
          </w:tcPr>
          <w:p w14:paraId="743823F7"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1.91</w:t>
            </w:r>
          </w:p>
        </w:tc>
        <w:tc>
          <w:tcPr>
            <w:tcW w:w="1620" w:type="dxa"/>
            <w:tcBorders>
              <w:top w:val="nil"/>
              <w:left w:val="nil"/>
              <w:bottom w:val="single" w:sz="8" w:space="0" w:color="auto"/>
              <w:right w:val="nil"/>
            </w:tcBorders>
            <w:vAlign w:val="center"/>
          </w:tcPr>
          <w:p w14:paraId="75C44E61" w14:textId="56FF6D83"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3.15</w:t>
            </w:r>
          </w:p>
        </w:tc>
        <w:tc>
          <w:tcPr>
            <w:tcW w:w="1523" w:type="dxa"/>
            <w:tcBorders>
              <w:top w:val="nil"/>
              <w:left w:val="nil"/>
              <w:bottom w:val="single" w:sz="8" w:space="0" w:color="auto"/>
              <w:right w:val="nil"/>
            </w:tcBorders>
            <w:vAlign w:val="center"/>
          </w:tcPr>
          <w:p w14:paraId="7F0E2D49" w14:textId="12D01FE5"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2.55</w:t>
            </w:r>
          </w:p>
        </w:tc>
      </w:tr>
      <w:tr w:rsidR="00663D0C" w:rsidRPr="00464420" w14:paraId="28467B29" w14:textId="5DEC4C1E" w:rsidTr="00FF4A94">
        <w:trPr>
          <w:trHeight w:val="300"/>
          <w:jc w:val="center"/>
        </w:trPr>
        <w:tc>
          <w:tcPr>
            <w:tcW w:w="2830" w:type="dxa"/>
            <w:tcBorders>
              <w:top w:val="nil"/>
              <w:left w:val="nil"/>
              <w:bottom w:val="nil"/>
              <w:right w:val="nil"/>
            </w:tcBorders>
            <w:shd w:val="clear" w:color="auto" w:fill="auto"/>
            <w:noWrap/>
            <w:vAlign w:val="center"/>
            <w:hideMark/>
          </w:tcPr>
          <w:p w14:paraId="3456FB93"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F(4,125)</w:t>
            </w:r>
          </w:p>
        </w:tc>
        <w:tc>
          <w:tcPr>
            <w:tcW w:w="577" w:type="dxa"/>
            <w:tcBorders>
              <w:top w:val="single" w:sz="4" w:space="0" w:color="auto"/>
              <w:left w:val="nil"/>
              <w:bottom w:val="nil"/>
              <w:right w:val="nil"/>
            </w:tcBorders>
            <w:vAlign w:val="center"/>
          </w:tcPr>
          <w:p w14:paraId="78871607" w14:textId="77777777" w:rsidR="00663D0C" w:rsidRPr="00464420" w:rsidRDefault="00663D0C" w:rsidP="0098735A">
            <w:pPr>
              <w:pStyle w:val="NoSpacing"/>
              <w:rPr>
                <w:rFonts w:ascii="Verdana" w:hAnsi="Verdana"/>
                <w:sz w:val="16"/>
                <w:szCs w:val="16"/>
              </w:rPr>
            </w:pPr>
          </w:p>
        </w:tc>
        <w:tc>
          <w:tcPr>
            <w:tcW w:w="236" w:type="dxa"/>
            <w:tcBorders>
              <w:top w:val="single" w:sz="4" w:space="0" w:color="auto"/>
              <w:left w:val="nil"/>
              <w:bottom w:val="nil"/>
              <w:right w:val="nil"/>
            </w:tcBorders>
            <w:shd w:val="clear" w:color="auto" w:fill="auto"/>
            <w:noWrap/>
            <w:vAlign w:val="center"/>
          </w:tcPr>
          <w:p w14:paraId="07FE042F" w14:textId="4CF89C0A" w:rsidR="00663D0C" w:rsidRPr="00464420" w:rsidRDefault="00663D0C" w:rsidP="0098735A">
            <w:pPr>
              <w:pStyle w:val="NoSpacing"/>
              <w:rPr>
                <w:rFonts w:ascii="Verdana" w:hAnsi="Verdana"/>
                <w:sz w:val="16"/>
                <w:szCs w:val="16"/>
              </w:rPr>
            </w:pPr>
          </w:p>
        </w:tc>
        <w:tc>
          <w:tcPr>
            <w:tcW w:w="1526" w:type="dxa"/>
            <w:tcBorders>
              <w:top w:val="nil"/>
              <w:left w:val="nil"/>
              <w:bottom w:val="nil"/>
              <w:right w:val="nil"/>
            </w:tcBorders>
            <w:shd w:val="clear" w:color="auto" w:fill="auto"/>
            <w:noWrap/>
            <w:vAlign w:val="center"/>
            <w:hideMark/>
          </w:tcPr>
          <w:p w14:paraId="36F32105"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37.17</w:t>
            </w:r>
          </w:p>
        </w:tc>
        <w:tc>
          <w:tcPr>
            <w:tcW w:w="1620" w:type="dxa"/>
            <w:tcBorders>
              <w:top w:val="nil"/>
              <w:left w:val="nil"/>
              <w:bottom w:val="nil"/>
              <w:right w:val="nil"/>
            </w:tcBorders>
            <w:vAlign w:val="center"/>
          </w:tcPr>
          <w:p w14:paraId="227934CC" w14:textId="2019297C"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44.99</w:t>
            </w:r>
          </w:p>
        </w:tc>
        <w:tc>
          <w:tcPr>
            <w:tcW w:w="1523" w:type="dxa"/>
            <w:tcBorders>
              <w:top w:val="nil"/>
              <w:left w:val="nil"/>
              <w:bottom w:val="nil"/>
              <w:right w:val="nil"/>
            </w:tcBorders>
            <w:vAlign w:val="center"/>
          </w:tcPr>
          <w:p w14:paraId="4D310BD1" w14:textId="5564474B"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61.37</w:t>
            </w:r>
          </w:p>
        </w:tc>
      </w:tr>
      <w:tr w:rsidR="00663D0C" w:rsidRPr="00464420" w14:paraId="50FE256F" w14:textId="6D9F207F" w:rsidTr="00FF4A94">
        <w:trPr>
          <w:trHeight w:val="300"/>
          <w:jc w:val="center"/>
        </w:trPr>
        <w:tc>
          <w:tcPr>
            <w:tcW w:w="2830" w:type="dxa"/>
            <w:tcBorders>
              <w:top w:val="nil"/>
              <w:left w:val="nil"/>
              <w:bottom w:val="nil"/>
              <w:right w:val="nil"/>
            </w:tcBorders>
            <w:shd w:val="clear" w:color="auto" w:fill="auto"/>
            <w:noWrap/>
            <w:vAlign w:val="center"/>
            <w:hideMark/>
          </w:tcPr>
          <w:p w14:paraId="32EF8C2B"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Prob &gt; F</w:t>
            </w:r>
          </w:p>
        </w:tc>
        <w:tc>
          <w:tcPr>
            <w:tcW w:w="577" w:type="dxa"/>
            <w:tcBorders>
              <w:top w:val="nil"/>
              <w:left w:val="nil"/>
              <w:bottom w:val="nil"/>
              <w:right w:val="nil"/>
            </w:tcBorders>
            <w:vAlign w:val="bottom"/>
          </w:tcPr>
          <w:p w14:paraId="4BF297CA" w14:textId="77777777" w:rsidR="00663D0C" w:rsidRPr="00464420" w:rsidRDefault="00663D0C" w:rsidP="0098735A">
            <w:pPr>
              <w:pStyle w:val="NoSpacing"/>
              <w:rPr>
                <w:rFonts w:ascii="Verdana" w:hAnsi="Verdana" w:cs="Calibri"/>
                <w:sz w:val="16"/>
                <w:szCs w:val="16"/>
              </w:rPr>
            </w:pPr>
          </w:p>
        </w:tc>
        <w:tc>
          <w:tcPr>
            <w:tcW w:w="236" w:type="dxa"/>
            <w:tcBorders>
              <w:top w:val="nil"/>
              <w:left w:val="nil"/>
              <w:bottom w:val="nil"/>
              <w:right w:val="nil"/>
            </w:tcBorders>
            <w:shd w:val="clear" w:color="auto" w:fill="auto"/>
            <w:noWrap/>
            <w:vAlign w:val="bottom"/>
          </w:tcPr>
          <w:p w14:paraId="2AE110E9" w14:textId="7165080C" w:rsidR="00663D0C" w:rsidRPr="00464420" w:rsidRDefault="00663D0C" w:rsidP="0098735A">
            <w:pPr>
              <w:pStyle w:val="NoSpacing"/>
              <w:rPr>
                <w:rFonts w:ascii="Verdana" w:hAnsi="Verdana" w:cs="Calibri"/>
                <w:sz w:val="16"/>
                <w:szCs w:val="16"/>
              </w:rPr>
            </w:pPr>
          </w:p>
        </w:tc>
        <w:tc>
          <w:tcPr>
            <w:tcW w:w="1526" w:type="dxa"/>
            <w:tcBorders>
              <w:top w:val="nil"/>
              <w:left w:val="nil"/>
              <w:bottom w:val="nil"/>
              <w:right w:val="nil"/>
            </w:tcBorders>
            <w:shd w:val="clear" w:color="auto" w:fill="auto"/>
            <w:noWrap/>
            <w:vAlign w:val="center"/>
            <w:hideMark/>
          </w:tcPr>
          <w:p w14:paraId="17527278"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w:t>
            </w:r>
          </w:p>
        </w:tc>
        <w:tc>
          <w:tcPr>
            <w:tcW w:w="1620" w:type="dxa"/>
            <w:tcBorders>
              <w:top w:val="nil"/>
              <w:left w:val="nil"/>
              <w:bottom w:val="nil"/>
              <w:right w:val="nil"/>
            </w:tcBorders>
            <w:vAlign w:val="center"/>
          </w:tcPr>
          <w:p w14:paraId="42BAA238" w14:textId="00594D4C"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0</w:t>
            </w:r>
          </w:p>
        </w:tc>
        <w:tc>
          <w:tcPr>
            <w:tcW w:w="1523" w:type="dxa"/>
            <w:tcBorders>
              <w:top w:val="nil"/>
              <w:left w:val="nil"/>
              <w:bottom w:val="nil"/>
              <w:right w:val="nil"/>
            </w:tcBorders>
            <w:vAlign w:val="center"/>
          </w:tcPr>
          <w:p w14:paraId="0CAEA499" w14:textId="030FDD72"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w:t>
            </w:r>
          </w:p>
        </w:tc>
      </w:tr>
      <w:tr w:rsidR="00663D0C" w:rsidRPr="00464420" w14:paraId="1CC7D448" w14:textId="22ED29D2" w:rsidTr="00FF4A94">
        <w:trPr>
          <w:trHeight w:val="300"/>
          <w:jc w:val="center"/>
        </w:trPr>
        <w:tc>
          <w:tcPr>
            <w:tcW w:w="2830" w:type="dxa"/>
            <w:tcBorders>
              <w:top w:val="nil"/>
              <w:left w:val="nil"/>
              <w:bottom w:val="nil"/>
              <w:right w:val="nil"/>
            </w:tcBorders>
            <w:shd w:val="clear" w:color="auto" w:fill="auto"/>
            <w:noWrap/>
            <w:vAlign w:val="center"/>
            <w:hideMark/>
          </w:tcPr>
          <w:p w14:paraId="40EEE3DF"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R-squared</w:t>
            </w:r>
          </w:p>
        </w:tc>
        <w:tc>
          <w:tcPr>
            <w:tcW w:w="577" w:type="dxa"/>
            <w:tcBorders>
              <w:top w:val="nil"/>
              <w:left w:val="nil"/>
              <w:bottom w:val="nil"/>
              <w:right w:val="nil"/>
            </w:tcBorders>
            <w:vAlign w:val="bottom"/>
          </w:tcPr>
          <w:p w14:paraId="4486ABCB" w14:textId="77777777" w:rsidR="00663D0C" w:rsidRPr="00464420" w:rsidRDefault="00663D0C" w:rsidP="0098735A">
            <w:pPr>
              <w:pStyle w:val="NoSpacing"/>
              <w:rPr>
                <w:rFonts w:ascii="Verdana" w:hAnsi="Verdana" w:cs="Calibri"/>
                <w:sz w:val="16"/>
                <w:szCs w:val="16"/>
              </w:rPr>
            </w:pPr>
          </w:p>
        </w:tc>
        <w:tc>
          <w:tcPr>
            <w:tcW w:w="236" w:type="dxa"/>
            <w:tcBorders>
              <w:top w:val="nil"/>
              <w:left w:val="nil"/>
              <w:bottom w:val="nil"/>
              <w:right w:val="nil"/>
            </w:tcBorders>
            <w:shd w:val="clear" w:color="auto" w:fill="auto"/>
            <w:noWrap/>
            <w:vAlign w:val="bottom"/>
          </w:tcPr>
          <w:p w14:paraId="27A8C5F8" w14:textId="34B5FBB9" w:rsidR="00663D0C" w:rsidRPr="00464420" w:rsidRDefault="00663D0C" w:rsidP="0098735A">
            <w:pPr>
              <w:pStyle w:val="NoSpacing"/>
              <w:rPr>
                <w:rFonts w:ascii="Verdana" w:hAnsi="Verdana" w:cs="Calibri"/>
                <w:sz w:val="16"/>
                <w:szCs w:val="16"/>
              </w:rPr>
            </w:pPr>
          </w:p>
        </w:tc>
        <w:tc>
          <w:tcPr>
            <w:tcW w:w="1526" w:type="dxa"/>
            <w:tcBorders>
              <w:top w:val="nil"/>
              <w:left w:val="nil"/>
              <w:bottom w:val="nil"/>
              <w:right w:val="nil"/>
            </w:tcBorders>
            <w:shd w:val="clear" w:color="auto" w:fill="auto"/>
            <w:noWrap/>
            <w:vAlign w:val="center"/>
            <w:hideMark/>
          </w:tcPr>
          <w:p w14:paraId="10BF7A69"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0.5433</w:t>
            </w:r>
          </w:p>
        </w:tc>
        <w:tc>
          <w:tcPr>
            <w:tcW w:w="1620" w:type="dxa"/>
            <w:tcBorders>
              <w:top w:val="nil"/>
              <w:left w:val="nil"/>
              <w:bottom w:val="nil"/>
              <w:right w:val="nil"/>
            </w:tcBorders>
            <w:vAlign w:val="center"/>
          </w:tcPr>
          <w:p w14:paraId="2519F523" w14:textId="7CF70884"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0.5901</w:t>
            </w:r>
          </w:p>
        </w:tc>
        <w:tc>
          <w:tcPr>
            <w:tcW w:w="1523" w:type="dxa"/>
            <w:tcBorders>
              <w:top w:val="nil"/>
              <w:left w:val="nil"/>
              <w:bottom w:val="nil"/>
              <w:right w:val="nil"/>
            </w:tcBorders>
            <w:vAlign w:val="center"/>
          </w:tcPr>
          <w:p w14:paraId="7F6A2584" w14:textId="12AEFFAF"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0.6626</w:t>
            </w:r>
          </w:p>
        </w:tc>
      </w:tr>
      <w:tr w:rsidR="00663D0C" w:rsidRPr="00464420" w14:paraId="5C21D563" w14:textId="262E3D0E" w:rsidTr="00FF4A94">
        <w:trPr>
          <w:trHeight w:val="315"/>
          <w:jc w:val="center"/>
        </w:trPr>
        <w:tc>
          <w:tcPr>
            <w:tcW w:w="2830" w:type="dxa"/>
            <w:tcBorders>
              <w:top w:val="nil"/>
              <w:left w:val="nil"/>
              <w:bottom w:val="single" w:sz="8" w:space="0" w:color="auto"/>
              <w:right w:val="nil"/>
            </w:tcBorders>
            <w:shd w:val="clear" w:color="auto" w:fill="auto"/>
            <w:noWrap/>
            <w:vAlign w:val="center"/>
            <w:hideMark/>
          </w:tcPr>
          <w:p w14:paraId="3927823B"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Adj R-squared</w:t>
            </w:r>
          </w:p>
        </w:tc>
        <w:tc>
          <w:tcPr>
            <w:tcW w:w="577" w:type="dxa"/>
            <w:tcBorders>
              <w:top w:val="nil"/>
              <w:left w:val="nil"/>
              <w:bottom w:val="single" w:sz="8" w:space="0" w:color="auto"/>
              <w:right w:val="nil"/>
            </w:tcBorders>
            <w:vAlign w:val="center"/>
          </w:tcPr>
          <w:p w14:paraId="3428EAC5" w14:textId="09304250" w:rsidR="00663D0C" w:rsidRPr="00464420" w:rsidRDefault="00663D0C" w:rsidP="0098735A">
            <w:pPr>
              <w:pStyle w:val="NoSpacing"/>
              <w:rPr>
                <w:rFonts w:ascii="Verdana" w:hAnsi="Verdana"/>
                <w:sz w:val="16"/>
                <w:szCs w:val="16"/>
                <w:lang w:val="id-ID"/>
              </w:rPr>
            </w:pPr>
            <w:r w:rsidRPr="00464420">
              <w:rPr>
                <w:rFonts w:ascii="Verdana" w:hAnsi="Verdana"/>
                <w:sz w:val="16"/>
                <w:szCs w:val="16"/>
                <w:lang w:val="id-ID"/>
              </w:rPr>
              <w:t> </w:t>
            </w:r>
          </w:p>
        </w:tc>
        <w:tc>
          <w:tcPr>
            <w:tcW w:w="236" w:type="dxa"/>
            <w:tcBorders>
              <w:top w:val="nil"/>
              <w:left w:val="nil"/>
              <w:bottom w:val="single" w:sz="8" w:space="0" w:color="auto"/>
              <w:right w:val="nil"/>
            </w:tcBorders>
            <w:shd w:val="clear" w:color="auto" w:fill="auto"/>
            <w:noWrap/>
            <w:vAlign w:val="center"/>
          </w:tcPr>
          <w:p w14:paraId="3BBBF47D" w14:textId="17C64B2D" w:rsidR="00663D0C" w:rsidRPr="00464420" w:rsidRDefault="00663D0C" w:rsidP="0098735A">
            <w:pPr>
              <w:pStyle w:val="NoSpacing"/>
              <w:rPr>
                <w:rFonts w:ascii="Verdana" w:hAnsi="Verdana"/>
                <w:sz w:val="16"/>
                <w:szCs w:val="16"/>
              </w:rPr>
            </w:pPr>
          </w:p>
        </w:tc>
        <w:tc>
          <w:tcPr>
            <w:tcW w:w="1526" w:type="dxa"/>
            <w:tcBorders>
              <w:top w:val="nil"/>
              <w:left w:val="nil"/>
              <w:bottom w:val="single" w:sz="8" w:space="0" w:color="auto"/>
              <w:right w:val="nil"/>
            </w:tcBorders>
            <w:shd w:val="clear" w:color="auto" w:fill="auto"/>
            <w:noWrap/>
            <w:vAlign w:val="center"/>
            <w:hideMark/>
          </w:tcPr>
          <w:p w14:paraId="349F3E32" w14:textId="77777777" w:rsidR="00663D0C" w:rsidRPr="00464420" w:rsidRDefault="00663D0C" w:rsidP="0098735A">
            <w:pPr>
              <w:pStyle w:val="NoSpacing"/>
              <w:rPr>
                <w:rFonts w:ascii="Verdana" w:hAnsi="Verdana"/>
                <w:sz w:val="16"/>
                <w:szCs w:val="16"/>
              </w:rPr>
            </w:pPr>
            <w:r w:rsidRPr="00464420">
              <w:rPr>
                <w:rFonts w:ascii="Verdana" w:hAnsi="Verdana"/>
                <w:sz w:val="16"/>
                <w:szCs w:val="16"/>
                <w:lang w:val="id-ID"/>
              </w:rPr>
              <w:t>0.5287</w:t>
            </w:r>
          </w:p>
        </w:tc>
        <w:tc>
          <w:tcPr>
            <w:tcW w:w="1620" w:type="dxa"/>
            <w:tcBorders>
              <w:top w:val="nil"/>
              <w:left w:val="nil"/>
              <w:bottom w:val="single" w:sz="8" w:space="0" w:color="auto"/>
              <w:right w:val="nil"/>
            </w:tcBorders>
            <w:vAlign w:val="center"/>
          </w:tcPr>
          <w:p w14:paraId="32907BE9" w14:textId="2C0E9ABB" w:rsidR="00663D0C" w:rsidRPr="00464420" w:rsidRDefault="00663D0C" w:rsidP="0098735A">
            <w:pPr>
              <w:pStyle w:val="NoSpacing"/>
              <w:rPr>
                <w:rFonts w:ascii="Verdana" w:hAnsi="Verdana"/>
                <w:sz w:val="16"/>
                <w:szCs w:val="16"/>
                <w:lang w:val="id-ID"/>
              </w:rPr>
            </w:pPr>
            <w:r w:rsidRPr="00464420">
              <w:rPr>
                <w:rFonts w:ascii="Verdana" w:hAnsi="Verdana" w:cs="Arial"/>
                <w:sz w:val="16"/>
                <w:szCs w:val="16"/>
                <w:lang w:val="id-ID"/>
              </w:rPr>
              <w:t>0.577</w:t>
            </w:r>
          </w:p>
        </w:tc>
        <w:tc>
          <w:tcPr>
            <w:tcW w:w="1523" w:type="dxa"/>
            <w:tcBorders>
              <w:top w:val="nil"/>
              <w:left w:val="nil"/>
              <w:bottom w:val="single" w:sz="8" w:space="0" w:color="auto"/>
              <w:right w:val="nil"/>
            </w:tcBorders>
            <w:vAlign w:val="center"/>
          </w:tcPr>
          <w:p w14:paraId="56E8FE8D" w14:textId="5E93A8ED" w:rsidR="00663D0C" w:rsidRPr="00464420" w:rsidRDefault="00663D0C" w:rsidP="0098735A">
            <w:pPr>
              <w:pStyle w:val="NoSpacing"/>
              <w:rPr>
                <w:rFonts w:ascii="Verdana" w:hAnsi="Verdana" w:cs="Arial"/>
                <w:sz w:val="16"/>
                <w:szCs w:val="16"/>
                <w:lang w:val="id-ID"/>
              </w:rPr>
            </w:pPr>
            <w:r w:rsidRPr="00464420">
              <w:rPr>
                <w:rFonts w:ascii="Verdana" w:hAnsi="Verdana" w:cs="Arial"/>
                <w:sz w:val="16"/>
                <w:szCs w:val="16"/>
                <w:lang w:val="id-ID"/>
              </w:rPr>
              <w:t>0.6518</w:t>
            </w:r>
          </w:p>
        </w:tc>
      </w:tr>
    </w:tbl>
    <w:p w14:paraId="19040CE9" w14:textId="02FDA112" w:rsidR="00DA3C5F" w:rsidRPr="00464420" w:rsidRDefault="00586DFD" w:rsidP="00586DFD">
      <w:pPr>
        <w:widowControl w:val="0"/>
        <w:autoSpaceDE w:val="0"/>
        <w:autoSpaceDN w:val="0"/>
        <w:adjustRightInd w:val="0"/>
        <w:spacing w:after="0"/>
        <w:ind w:firstLine="720"/>
        <w:rPr>
          <w:rFonts w:ascii="Verdana" w:hAnsi="Verdana" w:cs="Arial"/>
          <w:noProof/>
          <w:sz w:val="16"/>
          <w:szCs w:val="16"/>
        </w:rPr>
      </w:pPr>
      <w:r>
        <w:rPr>
          <w:rFonts w:ascii="Arial" w:hAnsi="Arial" w:cs="Arial"/>
          <w:noProof/>
          <w:sz w:val="21"/>
          <w:szCs w:val="21"/>
        </w:rPr>
        <w:t xml:space="preserve">  </w:t>
      </w:r>
      <w:r w:rsidR="00DA3C5F" w:rsidRPr="00464420">
        <w:rPr>
          <w:rFonts w:ascii="Verdana" w:hAnsi="Verdana" w:cs="Arial"/>
          <w:noProof/>
          <w:sz w:val="16"/>
          <w:szCs w:val="16"/>
        </w:rPr>
        <w:t>* p &lt; 0.1, ** p &lt; 0.05, *** p &lt; 0.01</w:t>
      </w:r>
    </w:p>
    <w:p w14:paraId="027E371E" w14:textId="77777777" w:rsidR="00586DFD" w:rsidRDefault="00586DFD" w:rsidP="00BF5C99">
      <w:pPr>
        <w:spacing w:before="80" w:after="0"/>
        <w:ind w:firstLine="720"/>
        <w:jc w:val="both"/>
        <w:rPr>
          <w:rFonts w:ascii="Verdana" w:hAnsi="Verdana"/>
          <w:sz w:val="19"/>
          <w:szCs w:val="19"/>
        </w:rPr>
        <w:sectPr w:rsidR="00586DFD" w:rsidSect="00586DFD">
          <w:type w:val="continuous"/>
          <w:pgSz w:w="11907" w:h="16840" w:code="9"/>
          <w:pgMar w:top="1448" w:right="1296" w:bottom="1699" w:left="1296" w:header="864" w:footer="576" w:gutter="0"/>
          <w:cols w:space="387"/>
          <w:titlePg/>
          <w:docGrid w:linePitch="360"/>
        </w:sectPr>
      </w:pPr>
    </w:p>
    <w:p w14:paraId="4B70073B" w14:textId="766C3824" w:rsidR="00BF5C99" w:rsidRPr="00464420" w:rsidRDefault="002F2E2F" w:rsidP="00BF5C99">
      <w:pPr>
        <w:spacing w:before="80" w:after="0"/>
        <w:ind w:firstLine="720"/>
        <w:jc w:val="both"/>
        <w:rPr>
          <w:rFonts w:ascii="Verdana" w:hAnsi="Verdana"/>
          <w:sz w:val="19"/>
          <w:szCs w:val="19"/>
        </w:rPr>
      </w:pPr>
      <w:r w:rsidRPr="00464420">
        <w:rPr>
          <w:rFonts w:ascii="Verdana" w:hAnsi="Verdana"/>
          <w:sz w:val="19"/>
          <w:szCs w:val="19"/>
        </w:rPr>
        <w:lastRenderedPageBreak/>
        <w:t>Table 2</w:t>
      </w:r>
      <w:r w:rsidR="00BF5C99" w:rsidRPr="00464420">
        <w:rPr>
          <w:rFonts w:ascii="Verdana" w:hAnsi="Verdana"/>
          <w:sz w:val="19"/>
          <w:szCs w:val="19"/>
        </w:rPr>
        <w:t xml:space="preserve"> shows that government health expenditure </w:t>
      </w:r>
      <w:r w:rsidR="0093053E">
        <w:rPr>
          <w:rFonts w:ascii="Verdana" w:hAnsi="Verdana"/>
          <w:sz w:val="19"/>
          <w:szCs w:val="19"/>
        </w:rPr>
        <w:t xml:space="preserve">seemed to </w:t>
      </w:r>
      <w:proofErr w:type="gramStart"/>
      <w:r w:rsidR="00557282">
        <w:rPr>
          <w:rFonts w:ascii="Verdana" w:hAnsi="Verdana"/>
          <w:sz w:val="19"/>
          <w:szCs w:val="19"/>
        </w:rPr>
        <w:t>has</w:t>
      </w:r>
      <w:proofErr w:type="gramEnd"/>
      <w:r w:rsidR="00BF5C99" w:rsidRPr="00464420">
        <w:rPr>
          <w:rFonts w:ascii="Verdana" w:hAnsi="Verdana"/>
          <w:sz w:val="19"/>
          <w:szCs w:val="19"/>
        </w:rPr>
        <w:t xml:space="preserve"> a negative effect on the number of dengue</w:t>
      </w:r>
      <w:r w:rsidR="0093053E">
        <w:rPr>
          <w:rFonts w:ascii="Verdana" w:hAnsi="Verdana"/>
          <w:sz w:val="19"/>
          <w:szCs w:val="19"/>
        </w:rPr>
        <w:t xml:space="preserve"> fever, diarrhea, and TB </w:t>
      </w:r>
      <w:r w:rsidR="00D87567" w:rsidRPr="00464420">
        <w:rPr>
          <w:rFonts w:ascii="Verdana" w:hAnsi="Verdana"/>
          <w:sz w:val="19"/>
          <w:szCs w:val="19"/>
        </w:rPr>
        <w:t>case</w:t>
      </w:r>
      <w:r w:rsidR="00BF5C99" w:rsidRPr="00464420">
        <w:rPr>
          <w:rFonts w:ascii="Verdana" w:hAnsi="Verdana"/>
          <w:sz w:val="19"/>
          <w:szCs w:val="19"/>
        </w:rPr>
        <w:t>s</w:t>
      </w:r>
      <w:r w:rsidR="0093053E">
        <w:rPr>
          <w:rFonts w:ascii="Verdana" w:hAnsi="Verdana"/>
          <w:sz w:val="19"/>
          <w:szCs w:val="19"/>
        </w:rPr>
        <w:t>, although the relationship is not statistically significant</w:t>
      </w:r>
      <w:r w:rsidR="00BF5C99" w:rsidRPr="00464420">
        <w:rPr>
          <w:rFonts w:ascii="Verdana" w:hAnsi="Verdana"/>
          <w:sz w:val="19"/>
          <w:szCs w:val="19"/>
        </w:rPr>
        <w:t xml:space="preserve">. </w:t>
      </w:r>
      <w:r w:rsidR="0093053E">
        <w:rPr>
          <w:rFonts w:ascii="Verdana" w:hAnsi="Verdana"/>
          <w:sz w:val="19"/>
          <w:szCs w:val="19"/>
        </w:rPr>
        <w:t xml:space="preserve">Number of primary health care has negative and statistically significant relation with the number of cases of all diseases, while population and population density has a reversed and statistically significant relation </w:t>
      </w:r>
    </w:p>
    <w:p w14:paraId="745CE726" w14:textId="6906CE64" w:rsidR="002D18AB" w:rsidRPr="00464420" w:rsidRDefault="000579C0" w:rsidP="00B2558E">
      <w:pPr>
        <w:spacing w:beforeLines="80" w:before="192" w:after="0"/>
        <w:ind w:firstLine="720"/>
        <w:jc w:val="both"/>
        <w:rPr>
          <w:rFonts w:ascii="Verdana" w:hAnsi="Verdana"/>
          <w:sz w:val="19"/>
          <w:szCs w:val="19"/>
        </w:rPr>
      </w:pPr>
      <w:r w:rsidRPr="00464420">
        <w:rPr>
          <w:rFonts w:ascii="Verdana" w:hAnsi="Verdana"/>
          <w:sz w:val="19"/>
          <w:szCs w:val="19"/>
        </w:rPr>
        <w:t xml:space="preserve">Government health expenditure is </w:t>
      </w:r>
      <w:r w:rsidR="00464018" w:rsidRPr="00464420">
        <w:rPr>
          <w:rFonts w:ascii="Verdana" w:hAnsi="Verdana"/>
          <w:sz w:val="19"/>
          <w:szCs w:val="19"/>
        </w:rPr>
        <w:t>eminently</w:t>
      </w:r>
      <w:r w:rsidRPr="00464420">
        <w:rPr>
          <w:rFonts w:ascii="Verdana" w:hAnsi="Verdana"/>
          <w:sz w:val="19"/>
          <w:szCs w:val="19"/>
        </w:rPr>
        <w:t xml:space="preserve"> important in overcoming health problems. </w:t>
      </w:r>
      <w:r w:rsidR="00464018" w:rsidRPr="00464420">
        <w:rPr>
          <w:rFonts w:ascii="Verdana" w:hAnsi="Verdana"/>
          <w:sz w:val="19"/>
          <w:szCs w:val="19"/>
        </w:rPr>
        <w:t>However, there are</w:t>
      </w:r>
      <w:r w:rsidRPr="00464420">
        <w:rPr>
          <w:rFonts w:ascii="Verdana" w:hAnsi="Verdana"/>
          <w:sz w:val="19"/>
          <w:szCs w:val="19"/>
        </w:rPr>
        <w:t xml:space="preserve"> many factors influenc</w:t>
      </w:r>
      <w:r w:rsidR="00464018" w:rsidRPr="00464420">
        <w:rPr>
          <w:rFonts w:ascii="Verdana" w:hAnsi="Verdana"/>
          <w:sz w:val="19"/>
          <w:szCs w:val="19"/>
        </w:rPr>
        <w:t xml:space="preserve">ing </w:t>
      </w:r>
      <w:r w:rsidRPr="00464420">
        <w:rPr>
          <w:rFonts w:ascii="Verdana" w:hAnsi="Verdana"/>
          <w:sz w:val="19"/>
          <w:szCs w:val="19"/>
        </w:rPr>
        <w:t>the success of the government in using the budget appropriately and overcom</w:t>
      </w:r>
      <w:r w:rsidR="00464018" w:rsidRPr="00464420">
        <w:rPr>
          <w:rFonts w:ascii="Verdana" w:hAnsi="Verdana"/>
          <w:sz w:val="19"/>
          <w:szCs w:val="19"/>
        </w:rPr>
        <w:t>ing</w:t>
      </w:r>
      <w:r w:rsidRPr="00464420">
        <w:rPr>
          <w:rFonts w:ascii="Verdana" w:hAnsi="Verdana"/>
          <w:sz w:val="19"/>
          <w:szCs w:val="19"/>
        </w:rPr>
        <w:t xml:space="preserve"> the number of diseases in a region. This study found that there was a negative but not significant relationship between health spending and disease rates. This can be caused by inefficient use of health budgets. Inefficient use of the budget can be caused by corruption and the quality of public institutions that are not optimal </w:t>
      </w:r>
      <w:r w:rsidR="00B2558E" w:rsidRPr="00464420">
        <w:rPr>
          <w:rFonts w:ascii="Verdana" w:hAnsi="Verdana"/>
          <w:sz w:val="19"/>
          <w:szCs w:val="19"/>
        </w:rPr>
        <w:fldChar w:fldCharType="begin" w:fldLock="1"/>
      </w:r>
      <w:r w:rsidR="00D10A8A">
        <w:rPr>
          <w:rFonts w:ascii="Verdana" w:hAnsi="Verdana"/>
          <w:sz w:val="19"/>
          <w:szCs w:val="19"/>
        </w:rPr>
        <w:instrText>ADDIN CSL_CITATION {"citationItems":[{"id":"ITEM-1","itemData":{"abstract":"Health expenditure in Sub-Saharan Africa (SSA) has improved over the years with several recent efforts to improve resource commitments to the health sector. Health outcomes in the region have, however, seen little improvements over the years. Several reasons, including the efficiency of health expenditure, have been given to justify this mismatch. Studies on health expenditure efficiency have mainly focused on developed regions with little attention to SSA. The objective of the study was, therefore, to examine The effects of corruption and public institution quality on efficiency. The efficiency of health expenditure was also compared across selected SSA countries. Data for the study was sourced from the World Bank's World Development Indicators for 45 countries covering the period 2005 to 2011. The two-stage Data Envelopment Analysis (DEA) was employed for the analysis. The first stage computes efficiency scores while the second stage examines the determinants of efficiency using the Tobit model. Per capita health expenditure was used as input while infant, under-five mortality and crude death rates were used as outputs. The results show that health expenditure efficiency was low with average scores of approximately 0.5. This suggests that there exist significant potential for SSA countries to improve population health outcomes given the level of expenditure. There was significant variation across countries with Cape Verde, Eritrea and Mauritius among the efficient countries while Equatorial Guinea, Sierra Leone and Swaziland were relatively inefficient. High corruption and poor public sector institutions reduced health expenditure efficiency. The findings emphasize the fact that, while increased health spending is necessary, it is also important to ensure efficiency in resource use across SSA countries. This can be achieved by effective monitoring and evaluation programmes that ensure reduced corruption and improved public institutions.","author":[{"dropping-particle":"","family":"Novignon","given":"Jacob","non-dropping-particle":"","parse-names":false,"suffix":""}],"container-title":"Munich Personal RePEc Archive","id":"ITEM-1","issue":"39195","issued":{"date-parts":[["2015"]]},"page":"1-21","title":"On the efficiency of public health expenditure in Sub-Saharan Africa: Does corruption and quality of public institutions matter?","type":"article-journal"},"uris":["http://www.mendeley.com/documents/?uuid=0f8127ce-333e-45dc-816a-b763ee4e9fe3","http://www.mendeley.com/documents/?uuid=41380709-2776-4792-b64e-832536224ef3","http://www.mendeley.com/documents/?uuid=794df74d-90c4-4616-9ece-1cabd2ea33db"]}],"mendeley":{"formattedCitation":"(Novignon, 2015)","plainTextFormattedCitation":"(Novignon, 2015)","previouslyFormattedCitation":"(Novignon, 2015)"},"properties":{"noteIndex":0},"schema":"https://github.com/citation-style-language/schema/raw/master/csl-citation.json"}</w:instrText>
      </w:r>
      <w:r w:rsidR="00B2558E" w:rsidRPr="00464420">
        <w:rPr>
          <w:rFonts w:ascii="Verdana" w:hAnsi="Verdana"/>
          <w:sz w:val="19"/>
          <w:szCs w:val="19"/>
        </w:rPr>
        <w:fldChar w:fldCharType="separate"/>
      </w:r>
      <w:r w:rsidR="00B2558E" w:rsidRPr="00464420">
        <w:rPr>
          <w:rFonts w:ascii="Verdana" w:hAnsi="Verdana"/>
          <w:noProof/>
          <w:sz w:val="19"/>
          <w:szCs w:val="19"/>
        </w:rPr>
        <w:t>(Novignon, 2015)</w:t>
      </w:r>
      <w:r w:rsidR="00B2558E" w:rsidRPr="00464420">
        <w:rPr>
          <w:rFonts w:ascii="Verdana" w:hAnsi="Verdana"/>
          <w:sz w:val="19"/>
          <w:szCs w:val="19"/>
        </w:rPr>
        <w:fldChar w:fldCharType="end"/>
      </w:r>
      <w:r w:rsidRPr="00464420">
        <w:rPr>
          <w:rFonts w:ascii="Verdana" w:hAnsi="Verdana"/>
          <w:sz w:val="19"/>
          <w:szCs w:val="19"/>
        </w:rPr>
        <w:t>. Efficiency improvements can be done by improving the health service system, optimizing the allocation of material resources and enhancing the level of health of financial resource allocation</w:t>
      </w:r>
      <w:r w:rsidR="001D5426" w:rsidRPr="00464420">
        <w:rPr>
          <w:rFonts w:ascii="Verdana" w:hAnsi="Verdana"/>
          <w:sz w:val="19"/>
          <w:szCs w:val="19"/>
        </w:rPr>
        <w:t xml:space="preserve"> </w:t>
      </w:r>
      <w:r w:rsidR="001D5426" w:rsidRPr="00464420">
        <w:rPr>
          <w:rFonts w:ascii="Verdana" w:hAnsi="Verdana"/>
          <w:sz w:val="19"/>
          <w:szCs w:val="19"/>
        </w:rPr>
        <w:fldChar w:fldCharType="begin" w:fldLock="1"/>
      </w:r>
      <w:r w:rsidR="00D10A8A">
        <w:rPr>
          <w:rFonts w:ascii="Verdana" w:hAnsi="Verdana"/>
          <w:sz w:val="19"/>
          <w:szCs w:val="19"/>
        </w:rPr>
        <w:instrText>ADDIN CSL_CITATION {"citationItems":[{"id":"ITEM-1","itemData":{"DOI":"10.1186/s12939-019-1003-5","ISSN":"14759276","abstract":"Background: Health expenditure efficiency (HEE) is an important research area in health economics. As a large agricultural country, China is faced with the daunting challenge of maintaining equality and efficiency in health resource allocation and health services utilization in the context of rapid economic growth in rural areas. The reasonable allocation of limited rural health resources may be achieved by scientifically measuring the current rural HEE. This subject may help to formulate effective policy or provide incentives for the health sector. Methods: The combination of a super-slack-based measure (SBM) model with the Malmquist productivity index (MPI) is proposed to evaluate the static health expenditure efficiency (HEE) and dynamic health expenditure efficiency (DHEE) in rural China from 2007 to 2016. Results: The results show that the HEE and DHEE values exhibit unstable trends over time. The HEE does not follow China's economic development and presents an average of 0.598 (&lt; 1); and the DHEE presents an average value of approximately 0.949 (&lt; 1), indicating that the DHEE of most provinces is not moving in a desirable direction. The level of technological progress and scale optimization are the main factors hindering total factor productivity (TFP) growth. Conclusions: The Chinese government could improve the efficiency of rural health resources allocation by improving the rural health service system, optimizing the allocation of material resources and enhancing the level of health of financial resources allocation. The state should continue to moderate policy for different regions. Moreover, scientific and technological advancements should be introduced to improve the scale optimization levels.","author":[{"dropping-particle":"","family":"Liu","given":"Weilin","non-dropping-particle":"","parse-names":false,"suffix":""},{"dropping-particle":"","family":"Xia","given":"Ying","non-dropping-particle":"","parse-names":false,"suffix":""},{"dropping-particle":"","family":"Hou","given":"Jianlin","non-dropping-particle":"","parse-names":false,"suffix":""}],"container-title":"International Journal for Equity in Health","id":"ITEM-1","issued":{"date-parts":[["2019"]]},"title":"Health expenditure efficiency in rural China using the super-SBM model and the Malmquist productivity index","type":"article-journal"},"uris":["http://www.mendeley.com/documents/?uuid=aa9f4d72-a067-4cd2-84a2-b2e1bc5b5bdb","http://www.mendeley.com/documents/?uuid=52ff415c-b6b4-4e25-9c10-9a4a882c7236","http://www.mendeley.com/documents/?uuid=c4a04ceb-6f43-439e-a4fa-efef37b9bd13"]}],"mendeley":{"formattedCitation":"(Liu, Xia, &amp; Hou, 2019)","plainTextFormattedCitation":"(Liu, Xia, &amp; Hou, 2019)","previouslyFormattedCitation":"(Liu, Xia, &amp; Hou, 2019)"},"properties":{"noteIndex":0},"schema":"https://github.com/citation-style-language/schema/raw/master/csl-citation.json"}</w:instrText>
      </w:r>
      <w:r w:rsidR="001D5426" w:rsidRPr="00464420">
        <w:rPr>
          <w:rFonts w:ascii="Verdana" w:hAnsi="Verdana"/>
          <w:sz w:val="19"/>
          <w:szCs w:val="19"/>
        </w:rPr>
        <w:fldChar w:fldCharType="separate"/>
      </w:r>
      <w:r w:rsidR="001D5426" w:rsidRPr="00464420">
        <w:rPr>
          <w:rFonts w:ascii="Verdana" w:hAnsi="Verdana"/>
          <w:noProof/>
          <w:sz w:val="19"/>
          <w:szCs w:val="19"/>
        </w:rPr>
        <w:t>(Liu, Xia, &amp; Hou, 2019)</w:t>
      </w:r>
      <w:r w:rsidR="001D5426" w:rsidRPr="00464420">
        <w:rPr>
          <w:rFonts w:ascii="Verdana" w:hAnsi="Verdana"/>
          <w:sz w:val="19"/>
          <w:szCs w:val="19"/>
        </w:rPr>
        <w:fldChar w:fldCharType="end"/>
      </w:r>
      <w:r w:rsidRPr="00464420">
        <w:rPr>
          <w:rFonts w:ascii="Verdana" w:hAnsi="Verdana"/>
          <w:sz w:val="19"/>
          <w:szCs w:val="19"/>
        </w:rPr>
        <w:t>. To improve the scale of optimization levels, the government must increase the use of technology</w:t>
      </w:r>
      <w:r w:rsidR="00464018" w:rsidRPr="00464420">
        <w:rPr>
          <w:rFonts w:ascii="Verdana" w:hAnsi="Verdana"/>
          <w:sz w:val="19"/>
          <w:szCs w:val="19"/>
        </w:rPr>
        <w:t xml:space="preserve"> </w:t>
      </w:r>
      <w:r w:rsidR="001D5426" w:rsidRPr="00464420">
        <w:rPr>
          <w:rFonts w:ascii="Verdana" w:hAnsi="Verdana"/>
          <w:sz w:val="19"/>
          <w:szCs w:val="19"/>
        </w:rPr>
        <w:fldChar w:fldCharType="begin" w:fldLock="1"/>
      </w:r>
      <w:r w:rsidR="00D10A8A">
        <w:rPr>
          <w:rFonts w:ascii="Verdana" w:hAnsi="Verdana"/>
          <w:sz w:val="19"/>
          <w:szCs w:val="19"/>
        </w:rPr>
        <w:instrText>ADDIN CSL_CITATION {"citationItems":[{"id":"ITEM-1","itemData":{"DOI":"10.1186/s12939-019-1003-5","ISSN":"14759276","abstract":"Background: Health expenditure efficiency (HEE) is an important research area in health economics. As a large agricultural country, China is faced with the daunting challenge of maintaining equality and efficiency in health resource allocation and health services utilization in the context of rapid economic growth in rural areas. The reasonable allocation of limited rural health resources may be achieved by scientifically measuring the current rural HEE. This subject may help to formulate effective policy or provide incentives for the health sector. Methods: The combination of a super-slack-based measure (SBM) model with the Malmquist productivity index (MPI) is proposed to evaluate the static health expenditure efficiency (HEE) and dynamic health expenditure efficiency (DHEE) in rural China from 2007 to 2016. Results: The results show that the HEE and DHEE values exhibit unstable trends over time. The HEE does not follow China's economic development and presents an average of 0.598 (&lt; 1); and the DHEE presents an average value of approximately 0.949 (&lt; 1), indicating that the DHEE of most provinces is not moving in a desirable direction. The level of technological progress and scale optimization are the main factors hindering total factor productivity (TFP) growth. Conclusions: The Chinese government could improve the efficiency of rural health resources allocation by improving the rural health service system, optimizing the allocation of material resources and enhancing the level of health of financial resources allocation. The state should continue to moderate policy for different regions. Moreover, scientific and technological advancements should be introduced to improve the scale optimization levels.","author":[{"dropping-particle":"","family":"Liu","given":"Weilin","non-dropping-particle":"","parse-names":false,"suffix":""},{"dropping-particle":"","family":"Xia","given":"Ying","non-dropping-particle":"","parse-names":false,"suffix":""},{"dropping-particle":"","family":"Hou","given":"Jianlin","non-dropping-particle":"","parse-names":false,"suffix":""}],"container-title":"International Journal for Equity in Health","id":"ITEM-1","issued":{"date-parts":[["2019"]]},"title":"Health expenditure efficiency in rural China using the super-SBM model and the Malmquist productivity index","type":"article-journal"},"uris":["http://www.mendeley.com/documents/?uuid=c4a04ceb-6f43-439e-a4fa-efef37b9bd13","http://www.mendeley.com/documents/?uuid=52ff415c-b6b4-4e25-9c10-9a4a882c7236","http://www.mendeley.com/documents/?uuid=aa9f4d72-a067-4cd2-84a2-b2e1bc5b5bdb"]}],"mendeley":{"formattedCitation":"(Liu et al., 2019)","plainTextFormattedCitation":"(Liu et al., 2019)","previouslyFormattedCitation":"(Liu et al., 2019)"},"properties":{"noteIndex":0},"schema":"https://github.com/citation-style-language/schema/raw/master/csl-citation.json"}</w:instrText>
      </w:r>
      <w:r w:rsidR="001D5426" w:rsidRPr="00464420">
        <w:rPr>
          <w:rFonts w:ascii="Verdana" w:hAnsi="Verdana"/>
          <w:sz w:val="19"/>
          <w:szCs w:val="19"/>
        </w:rPr>
        <w:fldChar w:fldCharType="separate"/>
      </w:r>
      <w:r w:rsidR="001D5426" w:rsidRPr="00464420">
        <w:rPr>
          <w:rFonts w:ascii="Verdana" w:hAnsi="Verdana"/>
          <w:noProof/>
          <w:sz w:val="19"/>
          <w:szCs w:val="19"/>
        </w:rPr>
        <w:t>(Liu et al., 2019)</w:t>
      </w:r>
      <w:r w:rsidR="001D5426" w:rsidRPr="00464420">
        <w:rPr>
          <w:rFonts w:ascii="Verdana" w:hAnsi="Verdana"/>
          <w:sz w:val="19"/>
          <w:szCs w:val="19"/>
        </w:rPr>
        <w:fldChar w:fldCharType="end"/>
      </w:r>
      <w:r w:rsidRPr="00464420">
        <w:rPr>
          <w:rFonts w:ascii="Verdana" w:hAnsi="Verdana"/>
          <w:sz w:val="19"/>
          <w:szCs w:val="19"/>
        </w:rPr>
        <w:t xml:space="preserve">. </w:t>
      </w:r>
      <w:r w:rsidR="00464018" w:rsidRPr="00464420">
        <w:rPr>
          <w:rFonts w:ascii="Verdana" w:hAnsi="Verdana"/>
          <w:sz w:val="19"/>
          <w:szCs w:val="19"/>
        </w:rPr>
        <w:t>T</w:t>
      </w:r>
      <w:r w:rsidRPr="00464420">
        <w:rPr>
          <w:rFonts w:ascii="Verdana" w:hAnsi="Verdana"/>
          <w:sz w:val="19"/>
          <w:szCs w:val="19"/>
        </w:rPr>
        <w:t>he increase in scale optimization will accelerate the resolution of health problems in an area.</w:t>
      </w:r>
      <w:r w:rsidR="002D18AB" w:rsidRPr="00464420">
        <w:rPr>
          <w:rFonts w:ascii="Verdana" w:hAnsi="Verdana"/>
          <w:sz w:val="19"/>
          <w:szCs w:val="19"/>
        </w:rPr>
        <w:t xml:space="preserve"> Administrative expenditure is also one of the causes of inefficient health spending. Greater administrative expenses are frequently blamed for lower health care productivity</w:t>
      </w:r>
      <w:r w:rsidR="00B2732D" w:rsidRPr="00464420">
        <w:rPr>
          <w:rFonts w:ascii="Verdana" w:hAnsi="Verdana"/>
          <w:sz w:val="19"/>
          <w:szCs w:val="19"/>
        </w:rPr>
        <w:t xml:space="preserve"> </w:t>
      </w:r>
      <w:r w:rsidR="002D18AB" w:rsidRPr="00464420">
        <w:rPr>
          <w:rFonts w:ascii="Verdana" w:hAnsi="Verdana"/>
          <w:sz w:val="19"/>
          <w:szCs w:val="19"/>
        </w:rPr>
        <w:lastRenderedPageBreak/>
        <w:fldChar w:fldCharType="begin" w:fldLock="1"/>
      </w:r>
      <w:r w:rsidR="00D10A8A">
        <w:rPr>
          <w:rFonts w:ascii="Verdana" w:hAnsi="Verdana"/>
          <w:sz w:val="19"/>
          <w:szCs w:val="19"/>
        </w:rPr>
        <w:instrText>ADDIN CSL_CITATION {"citationItems":[{"id":"ITEM-1","itemData":{"DOI":"10.1257/jep.22.4.27","ISSN":"08953309","PMID":"19305645","author":[{"dropping-particle":"","family":"Garber","given":"Alan M.","non-dropping-particle":"","parse-names":false,"suffix":""},{"dropping-particle":"","family":"Skinner","given":"Jonathan","non-dropping-particle":"","parse-names":false,"suffix":""}],"container-title":"Journal of Economic Perspectives","id":"ITEM-1","issued":{"date-parts":[["2008"]]},"title":"Is American health care uniquely inefficient?","type":"paper-conference"},"uris":["http://www.mendeley.com/documents/?uuid=ad54c041-7ab4-4df1-a868-2349c5b3635a","http://www.mendeley.com/documents/?uuid=5592d7dc-aafd-41e0-9bbf-35cdcb823f0c","http://www.mendeley.com/documents/?uuid=abe1c9fa-3cdf-4e07-9d08-763c1906be77"]}],"mendeley":{"formattedCitation":"(Garber &amp; Skinner, 2008)","plainTextFormattedCitation":"(Garber &amp; Skinner, 2008)","previouslyFormattedCitation":"(Garber &amp; Skinner, 2008)"},"properties":{"noteIndex":0},"schema":"https://github.com/citation-style-language/schema/raw/master/csl-citation.json"}</w:instrText>
      </w:r>
      <w:r w:rsidR="002D18AB" w:rsidRPr="00464420">
        <w:rPr>
          <w:rFonts w:ascii="Verdana" w:hAnsi="Verdana"/>
          <w:sz w:val="19"/>
          <w:szCs w:val="19"/>
        </w:rPr>
        <w:fldChar w:fldCharType="separate"/>
      </w:r>
      <w:r w:rsidR="002D18AB" w:rsidRPr="00464420">
        <w:rPr>
          <w:rFonts w:ascii="Verdana" w:hAnsi="Verdana"/>
          <w:noProof/>
          <w:sz w:val="19"/>
          <w:szCs w:val="19"/>
        </w:rPr>
        <w:t>(Garber &amp; Skinner, 2008)</w:t>
      </w:r>
      <w:r w:rsidR="002D18AB" w:rsidRPr="00464420">
        <w:rPr>
          <w:rFonts w:ascii="Verdana" w:hAnsi="Verdana"/>
          <w:sz w:val="19"/>
          <w:szCs w:val="19"/>
        </w:rPr>
        <w:fldChar w:fldCharType="end"/>
      </w:r>
      <w:r w:rsidR="00B2732D" w:rsidRPr="00464420">
        <w:rPr>
          <w:rFonts w:ascii="Verdana" w:hAnsi="Verdana"/>
          <w:sz w:val="19"/>
          <w:szCs w:val="19"/>
        </w:rPr>
        <w:t xml:space="preserve">. Lower health care productivity causes insignificant effects of health spending to reduce the rate of disease in some district. </w:t>
      </w:r>
    </w:p>
    <w:p w14:paraId="00F7478D" w14:textId="16964BF2" w:rsidR="000E540A" w:rsidRPr="00464420" w:rsidRDefault="000E540A" w:rsidP="000E540A">
      <w:pPr>
        <w:spacing w:before="80" w:after="0"/>
        <w:ind w:firstLine="720"/>
        <w:jc w:val="both"/>
        <w:rPr>
          <w:rFonts w:ascii="Verdana" w:hAnsi="Verdana"/>
          <w:sz w:val="19"/>
          <w:szCs w:val="19"/>
        </w:rPr>
      </w:pPr>
      <w:r w:rsidRPr="00464420">
        <w:rPr>
          <w:rFonts w:ascii="Verdana" w:hAnsi="Verdana"/>
          <w:sz w:val="19"/>
          <w:szCs w:val="19"/>
        </w:rPr>
        <w:t xml:space="preserve">From the results of the regression for each prevalent disease across 131 different districts </w:t>
      </w:r>
      <w:r w:rsidR="00464018" w:rsidRPr="00464420">
        <w:rPr>
          <w:rFonts w:ascii="Verdana" w:hAnsi="Verdana"/>
          <w:sz w:val="19"/>
          <w:szCs w:val="19"/>
        </w:rPr>
        <w:t>o</w:t>
      </w:r>
      <w:r w:rsidRPr="00464420">
        <w:rPr>
          <w:rFonts w:ascii="Verdana" w:hAnsi="Verdana"/>
          <w:sz w:val="19"/>
          <w:szCs w:val="19"/>
        </w:rPr>
        <w:t xml:space="preserve">n the Sumatra </w:t>
      </w:r>
      <w:proofErr w:type="gramStart"/>
      <w:r w:rsidRPr="00464420">
        <w:rPr>
          <w:rFonts w:ascii="Verdana" w:hAnsi="Verdana"/>
          <w:sz w:val="19"/>
          <w:szCs w:val="19"/>
        </w:rPr>
        <w:t>island</w:t>
      </w:r>
      <w:proofErr w:type="gramEnd"/>
      <w:r w:rsidRPr="00464420">
        <w:rPr>
          <w:rFonts w:ascii="Verdana" w:hAnsi="Verdana"/>
          <w:sz w:val="19"/>
          <w:szCs w:val="19"/>
        </w:rPr>
        <w:t>, it is found that the number of primary health care, the population, and the population density affect the incidence rate of dengue fever, diarrhea, and TBC in each district. From the four variables used as predictors, only the health budget is not significant</w:t>
      </w:r>
      <w:r w:rsidR="00464018" w:rsidRPr="00464420">
        <w:rPr>
          <w:rFonts w:ascii="Verdana" w:hAnsi="Verdana"/>
          <w:sz w:val="19"/>
          <w:szCs w:val="19"/>
        </w:rPr>
        <w:t>ly affected</w:t>
      </w:r>
      <w:r w:rsidRPr="00464420">
        <w:rPr>
          <w:rFonts w:ascii="Verdana" w:hAnsi="Verdana"/>
          <w:sz w:val="19"/>
          <w:szCs w:val="19"/>
        </w:rPr>
        <w:t xml:space="preserve"> all three diseases. Taking from a study done in Aceh </w:t>
      </w:r>
      <w:proofErr w:type="spellStart"/>
      <w:r w:rsidRPr="00464420">
        <w:rPr>
          <w:rFonts w:ascii="Verdana" w:hAnsi="Verdana"/>
          <w:sz w:val="19"/>
          <w:szCs w:val="19"/>
        </w:rPr>
        <w:t>Besar</w:t>
      </w:r>
      <w:proofErr w:type="spellEnd"/>
      <w:r w:rsidRPr="00464420">
        <w:rPr>
          <w:rFonts w:ascii="Verdana" w:hAnsi="Verdana"/>
          <w:sz w:val="19"/>
          <w:szCs w:val="19"/>
        </w:rPr>
        <w:t xml:space="preserve"> region, this might be in the execution of the health programs and where the budget is allocated rather than the amount of budget allocated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{"citationItems":[{"id":"ITEM-1","itemData":{"DOI":"10.15408/sigf.v3i2.2057","ISSN":"2087-2046","abstract":"This study aims to analyze the effectiveness and efficiency of budget absorption level of education and health in the Budget (budget) Aceh Besar district. The analytical method used is the ratio of the effectiveness and efficiency of revenue and expenditure. The results of this study indicate that the level of effectiveness of the education budget absorption is considered ineffective. Level of efficiency in the education budget is less efficient category. The level of effectiveness of health budgets on average less effective. The level of efficiency of the health budget shows less efficient and inefficient. Factors that influence the effectiveness and efficiency of the health sector budget realization that their force major (emergency), the internal condition of the Department of Health, the process of procurement of goods and services that are not timely and not within specifications, on corruption, budget execution document and revision process, an increase in the allocation of expenditure in the Department of Health in the event of changes in the budget, lack of coordination between planning and execution, lack of health budgetsDOI: 10.15408/sjie.v3i2.2057","author":[{"dropping-particle":"","family":"Murdani","given":"","non-dropping-particle":"","parse-names":false,"suffix":""},{"dropping-particle":"","family":"Suherlan","given":"Ade","non-dropping-particle":"","parse-names":false,"suffix":""}],"container-title":"Signifikan: Jurnal Ilmu Ekonomi","id":"ITEM-1","issue":"2","issued":{"date-parts":[["2014"]]},"page":"127-148","title":"Analisis Efektivitas Dan Efisiensi Penyerapan Anggaran Pendidikan Dan Kesehatan Dalam Apbd Kabupaten Aceh Besar Pada Periode 2008-2012","type":"article-journal","volume":"3"},"uris":["http://www.mendeley.com/documents/?uuid=23f2bfe6-6fc9-4cc8-a2ee-a894ec582cf2","http://www.mendeley.com/documents/?uuid=a0738913-adc6-4ccb-a973-c5204ddae2f9","http://www.mendeley.com/documents/?uuid=a27ba5f7-85cb-44db-bf69-a748e10599b8","http://www.mendeley.com/documents/?uuid=24e7137e-fd50-41ff-a082-3d64eb514d81"]}],"mendeley":{"formattedCitation":"(Murdani &amp; Suherlan, 2014)","plainTextFormattedCitation":"(Murdani &amp; Suherlan, 2014)","previouslyFormattedCitation":"(Murdani &amp; Suherlan, 2014)"},"properties":{"noteIndex":0},"schema":"https://github.com/citation-style-language/schema/raw/master/csl-citation.json"}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(Murdani &amp; Suherlan, 2014)</w:t>
      </w:r>
      <w:r w:rsidRPr="00464420">
        <w:rPr>
          <w:rFonts w:ascii="Verdana" w:hAnsi="Verdana"/>
          <w:sz w:val="19"/>
          <w:szCs w:val="19"/>
        </w:rPr>
        <w:fldChar w:fldCharType="end"/>
      </w:r>
      <w:r w:rsidRPr="00464420">
        <w:rPr>
          <w:rFonts w:ascii="Verdana" w:hAnsi="Verdana"/>
          <w:sz w:val="19"/>
          <w:szCs w:val="19"/>
        </w:rPr>
        <w:t>. The efficiency ratio in the health budget is found to be inefficient from 2008-2012. The budget given to the region is not handled well with some money lost due to corruption as well as suboptimal planning. The money is used, but the results are not optimum.</w:t>
      </w:r>
    </w:p>
    <w:p w14:paraId="2980986F" w14:textId="419FCAAC" w:rsidR="000E540A" w:rsidRPr="00464420" w:rsidRDefault="000E540A" w:rsidP="000E540A">
      <w:pPr>
        <w:spacing w:before="80" w:after="0"/>
        <w:jc w:val="both"/>
        <w:rPr>
          <w:rFonts w:ascii="Verdana" w:hAnsi="Verdana"/>
          <w:sz w:val="19"/>
          <w:szCs w:val="19"/>
        </w:rPr>
      </w:pPr>
      <w:r w:rsidRPr="00464420">
        <w:rPr>
          <w:rFonts w:ascii="Verdana" w:hAnsi="Verdana"/>
          <w:sz w:val="19"/>
          <w:szCs w:val="19"/>
        </w:rPr>
        <w:t xml:space="preserve"> </w:t>
      </w:r>
      <w:r w:rsidRPr="00464420">
        <w:rPr>
          <w:rFonts w:ascii="Verdana" w:hAnsi="Verdana"/>
          <w:sz w:val="19"/>
          <w:szCs w:val="19"/>
        </w:rPr>
        <w:tab/>
        <w:t xml:space="preserve">Another study done in West Sumatra cited that the lack of budget management training as well as the weak coordination between stakeholders made it ineffective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{"citationItems":[{"id":"ITEM-1","itemData":{"author":[{"dropping-particle":"","family":"Kani","given":"Abdul","non-dropping-particle":"","parse-names":false,"suffix":""},{"dropping-particle":"","family":"Herawati","given":"Dewi Marhaeni Diah","non-dropping-particle":"","parse-names":false,"suffix":""},{"dropping-particle":"","family":"Trisnantoro","given":"Laksono","non-dropping-particle":"","parse-names":false,"suffix":""}],"container-title":"Jurnal Manajemen Pelayanan Kesehatan","id":"ITEM-1","issue":"03","issued":{"date-parts":[["2012"]]},"page":"131-139","title":"Evaluasi Perencanaan dan Penganggaran Dinas Kesehatan Kabupaten Pesisir Selatan Provinsi Sumatera Barat","type":"article-journal","volume":"15"},"uris":["http://www.mendeley.com/documents/?uuid=0333b800-7317-47fc-b278-d5a26e52bc4b","http://www.mendeley.com/documents/?uuid=73eda59b-90e9-4a0e-9865-ff8601cde066","http://www.mendeley.com/documents/?uuid=7ea8f4ea-4c32-4e7e-8775-199bdee9b614","http://www.mendeley.com/documents/?uuid=9eeb639b-0c67-4bb1-b9df-31438957144c"]}],"mendeley":{"formattedCitation":"(Kani, Herawati, &amp; Trisnantoro, 2012)","plainTextFormattedCitation":"(Kani, Herawati, &amp; Trisnantoro, 2012)","previouslyFormattedCitation":"(Kani, Herawati, &amp; Trisnantoro, 2012)"},"properties":{"noteIndex":0},"schema":"https://github.com/citation-style-language/schema/raw/master/csl-citation.json"}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(Kani, Herawati, &amp; Trisnantoro, 2012)</w:t>
      </w:r>
      <w:r w:rsidRPr="00464420">
        <w:rPr>
          <w:rFonts w:ascii="Verdana" w:hAnsi="Verdana"/>
          <w:sz w:val="19"/>
          <w:szCs w:val="19"/>
        </w:rPr>
        <w:fldChar w:fldCharType="end"/>
      </w:r>
      <w:r w:rsidRPr="00464420">
        <w:rPr>
          <w:rFonts w:ascii="Verdana" w:hAnsi="Verdana"/>
          <w:sz w:val="19"/>
          <w:szCs w:val="19"/>
        </w:rPr>
        <w:t xml:space="preserve">. The planning does not involve the primary health care as the primary health care provider. Therefore, the execution and the budget for several programs in the primary health care clash with each other. The planned budget made by the West Sumatra Public Health Office is constantly revised by the budgeting team because of budgeting limitations. The </w:t>
      </w:r>
      <w:r w:rsidRPr="00464420">
        <w:rPr>
          <w:rFonts w:ascii="Verdana" w:hAnsi="Verdana"/>
          <w:sz w:val="19"/>
          <w:szCs w:val="19"/>
        </w:rPr>
        <w:lastRenderedPageBreak/>
        <w:t>budget realization for the 2006, 2007, and 2008 health budget is fairly low. From these two studies, we can conclude that the budget realization is low because of poor planning and budget limitations. Yet, when this budget is realized, it’s not used effectively.</w:t>
      </w:r>
    </w:p>
    <w:p w14:paraId="4564943F" w14:textId="3F0F4004" w:rsidR="000E540A" w:rsidRPr="00464420" w:rsidRDefault="000E540A" w:rsidP="00322493">
      <w:pPr>
        <w:spacing w:beforeLines="80" w:before="192" w:after="0"/>
        <w:ind w:firstLine="720"/>
        <w:jc w:val="both"/>
        <w:rPr>
          <w:rFonts w:ascii="Verdana" w:hAnsi="Verdana"/>
          <w:sz w:val="19"/>
          <w:szCs w:val="19"/>
        </w:rPr>
      </w:pPr>
      <w:r w:rsidRPr="00464420">
        <w:rPr>
          <w:rFonts w:ascii="Verdana" w:hAnsi="Verdana"/>
          <w:sz w:val="19"/>
          <w:szCs w:val="19"/>
        </w:rPr>
        <w:t xml:space="preserve">The number of primary health care in each district has a negative relationship with the amount of cases found, all significant at 1% significance level. On average, one public health center reduces the number of dengue fever by 7 cases, diarrhea by 230 cases, and TBC by 15 cases. The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{"citationItems":[{"id":"ITEM-1","itemData":{"DOI":"10.1016/0021-9924(94)90039-6","ISBN":"0022-3514","ISSN":"08921997","PMID":"19814172","abstract":"The purpose of this study was to determine the acoustic effects on voice of three tasks of cognitive workload and their possible relationship to stress. Acoustic analysis was used to measure stress and workload in four experimental tasks and two experiments. In the first experiment, subjects performed cognitive workload tasks under a stressful condition, performing the tasks as rapidly as possible without errors and with the knowledge that any errors committed would reduce their grade in a course. The second condition was to perform the same tasks but without the condition of stress related to the final grade. Four testing conditions were included. One was a baseline measure in which subjects spelled the Spanish alphabet. The second was the reading of a tongue twister, the third was the reading of a tongue twister with delayed auditory feedback, and the fourth was spelling the Spanish alphabet in reverse order. In each condition the subjects prolonged the vowel /a/ for, approximately 5 sec. All subjects performed a test to determine their overall level of anxiety. The results suggest that in conditions of experimentally induced stress there is an increase in the fundamental frequency (F0) relative to baseline, an increase in jitter and shimmer, an increase in the high-frequency harmonic energy, and a decrease in spectral noise.","author":[{"dropping-particle":"","family":"Menteri Kesehatan Republik Indonesia","given":"","non-dropping-particle":"","parse-names":false,"suffix":""}],"id":"ITEM-1","issued":{"date-parts":[["2004"]]},"page":"157-187","title":"Keputusan Menteri Kesehatan Republik Indonesia Nomor 128 Tahun 2004","type":"bill"},"uris":["http://www.mendeley.com/documents/?uuid=f0be0a78-ffd6-4a94-8ac9-d847829bbbc3","http://www.mendeley.com/documents/?uuid=30aff979-7237-4025-bb82-60c178da1a35","http://www.mendeley.com/documents/?uuid=0991792b-e3a1-4bbd-82c5-16dde3ae1241","http://www.mendeley.com/documents/?uuid=0157dd3a-225b-44f1-93e3-3ca0b519e0c6"]}],"mendeley":{"formattedCitation":"(Menteri Kesehatan Republik Indonesia, 2004)","manualFormatting":"Minister of Health Decree No. 128 Year 2004","plainTextFormattedCitation":"(Menteri Kesehatan Republik Indonesia, 2004)","previouslyFormattedCitation":"(Menteri Kesehatan Republik Indonesia, 2004)"},"properties":{"noteIndex":0},"schema":"https://github.com/citation-style-language/schema/raw/master/csl-citation.json"}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Minister of Health Decree No. 128 Year 2004</w:t>
      </w:r>
      <w:r w:rsidRPr="00464420">
        <w:rPr>
          <w:rFonts w:ascii="Verdana" w:hAnsi="Verdana"/>
          <w:sz w:val="19"/>
          <w:szCs w:val="19"/>
        </w:rPr>
        <w:fldChar w:fldCharType="end"/>
      </w:r>
      <w:r w:rsidRPr="00464420">
        <w:rPr>
          <w:rFonts w:ascii="Verdana" w:hAnsi="Verdana"/>
          <w:sz w:val="19"/>
          <w:szCs w:val="19"/>
        </w:rPr>
        <w:t xml:space="preserve"> about the basic policy of Public Health Center state that the ideal ratio between the number of public health center and population of a region is ideally 1:30,000 but the development has been hindered by the lack of monitoring and faulty execution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author":[{"dropping-particle":"","family":"Winarno","given":"Kus","non-dropping-particle":"","parse-names":false,"suffix":""},{"dropping-particle":"","family":"Hasanbasri","given":"Mubasysyir","non-dropping-particle":"","parse-names":false,"suffix":""},{"dropping-particle":"","family":"Sunjaya","given":"Deni Kurniadi","non-dropping-particle":"","parse-names":false,"suffix":""},{"dropping-particle":"","family":"Kesehatan","given":"Dinas","non-dropping-particle":"","parse-names":false,"suffix":""},{"dropping-particle":"","family":"Kalimantan","given":"Provinsi","non-dropping-particle":"","parse-names":false,"suffix":""},{"dropping-particle":"","family":"Studi","given":"Program","non-dropping-particle":"","parse-names":false,"suffix":""},{"dropping-particle":"","family":"Kesehatan","given":"Ilmu","non-dropping-particle":"","parse-names":false,"suffix":""},{"dropping-particle":"","family":"Kedokteran","given":"Fakultas","non-dropping-particle":"","parse-names":false,"suffix":""},{"dropping-particle":"","family":"Mada","given":"Universitas Gadjah","non-dropping-particle":"","parse-names":false,"suffix":""},{"dropping-particle":"","family":"Manajemen","given":"Pusat","non-dropping-particle":"","parse-names":false,"suffix":""},{"dropping-particle":"","family":"Kesehatan","given":"Pelayanan","non-dropping-particle":"","parse-names":false,"suffix":""}],"container-title":"Jurnal Kebijakan Kesehatan Indonesia","id":"ITEM-1","issue":"02","issued":{"date-parts":[["2013"]]},"page":"86-94","title":"Evaluasi Kebijakan Pembangunan Puskesmas Pembantu di Propinsi Kalimantan Tengah","type":"article-journal","volume":"02"},"uris":["http://www.mendeley.com/documents/?uuid=1f4d81b8-86e0-4a7b-88e3-b96fa37275cc","http://www.mendeley.com/documents/?uuid=604460e6-ab05-417c-b3ab-92ffa455ed06","http://www.mendeley.com/documents/?uuid=b48371c1-6999-48db-a5ce-89a91ff4a13f","http://www.mendeley.com/documents/?uuid=edf2cc26-1ab0-4276-8eea-b2e95f41d147"]}],"mendeley":{"formattedCitation":"(Winarno et al., 2013)","plainTextFormattedCitation":"(Winarno et al., 2013)","previouslyFormattedCitation":"(Winarno et al., 2013)"},"properties":{"noteIndex":0},"schema":"https://github.com/citation-style-language/schema/raw/master/csl-citation.json"}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(Winarno et al., 2013)</w:t>
      </w:r>
      <w:r w:rsidRPr="00464420">
        <w:rPr>
          <w:rFonts w:ascii="Verdana" w:hAnsi="Verdana"/>
          <w:sz w:val="19"/>
          <w:szCs w:val="19"/>
        </w:rPr>
        <w:fldChar w:fldCharType="end"/>
      </w:r>
      <w:r w:rsidRPr="00464420">
        <w:rPr>
          <w:rFonts w:ascii="Verdana" w:hAnsi="Verdana"/>
          <w:sz w:val="19"/>
          <w:szCs w:val="19"/>
        </w:rPr>
        <w:t xml:space="preserve">. In accordance to the decree, </w:t>
      </w:r>
      <w:r w:rsidR="001465A6" w:rsidRPr="00464420">
        <w:rPr>
          <w:rFonts w:ascii="Verdana" w:hAnsi="Verdana"/>
          <w:sz w:val="19"/>
          <w:szCs w:val="19"/>
        </w:rPr>
        <w:t>this primary health care does</w:t>
      </w:r>
      <w:r w:rsidRPr="00464420">
        <w:rPr>
          <w:rFonts w:ascii="Verdana" w:hAnsi="Verdana"/>
          <w:sz w:val="19"/>
          <w:szCs w:val="19"/>
        </w:rPr>
        <w:t xml:space="preserve"> not only provide healthcare, but also information on hygiene and healthy living. More primary health </w:t>
      </w:r>
      <w:proofErr w:type="spellStart"/>
      <w:r w:rsidRPr="00464420">
        <w:rPr>
          <w:rFonts w:ascii="Verdana" w:hAnsi="Verdana"/>
          <w:sz w:val="19"/>
          <w:szCs w:val="19"/>
        </w:rPr>
        <w:t>care</w:t>
      </w:r>
      <w:r w:rsidR="00605CC8" w:rsidRPr="00464420">
        <w:rPr>
          <w:rFonts w:ascii="Verdana" w:hAnsi="Verdana"/>
          <w:sz w:val="19"/>
          <w:szCs w:val="19"/>
        </w:rPr>
        <w:t>s</w:t>
      </w:r>
      <w:proofErr w:type="spellEnd"/>
      <w:r w:rsidRPr="00464420">
        <w:rPr>
          <w:rFonts w:ascii="Verdana" w:hAnsi="Verdana"/>
          <w:sz w:val="19"/>
          <w:szCs w:val="19"/>
        </w:rPr>
        <w:t xml:space="preserve"> </w:t>
      </w:r>
      <w:r w:rsidR="00464018" w:rsidRPr="00464420">
        <w:rPr>
          <w:rFonts w:ascii="Verdana" w:hAnsi="Verdana"/>
          <w:sz w:val="19"/>
          <w:szCs w:val="19"/>
        </w:rPr>
        <w:t>make</w:t>
      </w:r>
      <w:r w:rsidRPr="00464420">
        <w:rPr>
          <w:rFonts w:ascii="Verdana" w:hAnsi="Verdana"/>
          <w:sz w:val="19"/>
          <w:szCs w:val="19"/>
        </w:rPr>
        <w:t xml:space="preserve"> shorter lines and easier access for those living in rural areas, motivating individuals to seek health advice instead of ignoring minor diseases such as diarrhea that may be more serious than it seems.</w:t>
      </w:r>
    </w:p>
    <w:p w14:paraId="68CC0A89" w14:textId="5BE11EFB" w:rsidR="00B5556A" w:rsidRPr="00464420" w:rsidRDefault="00B5556A" w:rsidP="00322493">
      <w:pPr>
        <w:spacing w:beforeLines="80" w:before="192" w:after="0"/>
        <w:ind w:firstLine="720"/>
        <w:jc w:val="both"/>
        <w:rPr>
          <w:rFonts w:ascii="Verdana" w:hAnsi="Verdana"/>
          <w:sz w:val="19"/>
          <w:szCs w:val="19"/>
        </w:rPr>
      </w:pPr>
      <w:r w:rsidRPr="00464420">
        <w:rPr>
          <w:rFonts w:ascii="Verdana" w:hAnsi="Verdana"/>
          <w:sz w:val="19"/>
          <w:szCs w:val="19"/>
        </w:rPr>
        <w:t xml:space="preserve">Population influences the spread of TBC, diarrhea, and dengue fever in some way. As seen from a study in North </w:t>
      </w:r>
      <w:proofErr w:type="spellStart"/>
      <w:r w:rsidRPr="00464420">
        <w:rPr>
          <w:rFonts w:ascii="Verdana" w:hAnsi="Verdana"/>
          <w:sz w:val="19"/>
          <w:szCs w:val="19"/>
        </w:rPr>
        <w:t>Minahasa</w:t>
      </w:r>
      <w:proofErr w:type="spellEnd"/>
      <w:r w:rsidRPr="00464420">
        <w:rPr>
          <w:rFonts w:ascii="Verdana" w:hAnsi="Verdana"/>
          <w:sz w:val="19"/>
          <w:szCs w:val="19"/>
        </w:rPr>
        <w:t xml:space="preserve"> region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{"citationItems":[{"id":"ITEM-1","itemData":{"author":[{"dropping-particle":"","family":"Faldy","given":"Ristanto","non-dropping-particle":"","parse-names":false,"suffix":""},{"dropping-particle":"","family":"Kaunang","given":"Wulan P J","non-dropping-particle":"","parse-names":false,"suffix":""},{"dropping-particle":"","family":"Pandelaki","given":"A J","non-dropping-particle":"","parse-names":false,"suffix":""}],"container-title":"Jurnal Kedokteran Komunitas dan Tropik","id":"ITEM-1","issue":"2","issued":{"date-parts":[["2015"]]},"page":"73-81","title":"Pemetaan Kasus Demam Berdarah Dengue di Kabupaten Minahasa Utara","type":"article-journal","volume":"3"},"uris":["http://www.mendeley.com/documents/?uuid=f980d590-9110-42ce-9b52-3f82defb7bb1","http://www.mendeley.com/documents/?uuid=d8c74427-3cbf-4554-a3d0-25230e6de6c1","http://www.mendeley.com/documents/?uuid=87da2304-3593-4c2e-8d4f-bd8676b60eb2","http://www.mendeley.com/documents/?uuid=18b9c6c3-44d1-4efe-a2b3-abc0a05e699e"]}],"mendeley":{"formattedCitation":"(Faldy, Kaunang, &amp; Pandelaki, 2015)","plainTextFormattedCitation":"(Faldy, Kaunang, &amp; Pandelaki, 2015)","previouslyFormattedCitation":"(Faldy, Kaunang, &amp; Pandelaki, 2015)"},"properties":{"noteIndex":0},"schema":"https://github.com/citation-style-language/schema/raw/master/csl-citation.json"}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(Faldy, Kaunang, &amp; Pandelaki, 2015)</w:t>
      </w:r>
      <w:r w:rsidRPr="00464420">
        <w:rPr>
          <w:rFonts w:ascii="Verdana" w:hAnsi="Verdana"/>
          <w:sz w:val="19"/>
          <w:szCs w:val="19"/>
        </w:rPr>
        <w:fldChar w:fldCharType="end"/>
      </w:r>
      <w:r w:rsidRPr="00464420">
        <w:rPr>
          <w:rFonts w:ascii="Verdana" w:hAnsi="Verdana"/>
          <w:sz w:val="19"/>
          <w:szCs w:val="19"/>
        </w:rPr>
        <w:t>, the more populous districts (</w:t>
      </w:r>
      <w:proofErr w:type="spellStart"/>
      <w:r w:rsidRPr="00464420">
        <w:rPr>
          <w:rFonts w:ascii="Verdana" w:hAnsi="Verdana"/>
          <w:sz w:val="19"/>
          <w:szCs w:val="19"/>
        </w:rPr>
        <w:t>Kauditan</w:t>
      </w:r>
      <w:proofErr w:type="spellEnd"/>
      <w:r w:rsidRPr="00464420">
        <w:rPr>
          <w:rFonts w:ascii="Verdana" w:hAnsi="Verdana"/>
          <w:sz w:val="19"/>
          <w:szCs w:val="19"/>
        </w:rPr>
        <w:t xml:space="preserve">, </w:t>
      </w:r>
      <w:proofErr w:type="spellStart"/>
      <w:r w:rsidRPr="00464420">
        <w:rPr>
          <w:rFonts w:ascii="Verdana" w:hAnsi="Verdana"/>
          <w:sz w:val="19"/>
          <w:szCs w:val="19"/>
        </w:rPr>
        <w:t>Airmadidi</w:t>
      </w:r>
      <w:proofErr w:type="spellEnd"/>
      <w:r w:rsidRPr="00464420">
        <w:rPr>
          <w:rFonts w:ascii="Verdana" w:hAnsi="Verdana"/>
          <w:sz w:val="19"/>
          <w:szCs w:val="19"/>
        </w:rPr>
        <w:t xml:space="preserve">, and </w:t>
      </w:r>
      <w:proofErr w:type="spellStart"/>
      <w:r w:rsidRPr="00464420">
        <w:rPr>
          <w:rFonts w:ascii="Verdana" w:hAnsi="Verdana"/>
          <w:sz w:val="19"/>
          <w:szCs w:val="19"/>
        </w:rPr>
        <w:t>Kalawat</w:t>
      </w:r>
      <w:proofErr w:type="spellEnd"/>
      <w:r w:rsidRPr="00464420">
        <w:rPr>
          <w:rFonts w:ascii="Verdana" w:hAnsi="Verdana"/>
          <w:sz w:val="19"/>
          <w:szCs w:val="19"/>
        </w:rPr>
        <w:t xml:space="preserve">) all have the highest incidence of dengue fever. The same case happens in TBC occurrence </w:t>
      </w:r>
      <w:proofErr w:type="spellStart"/>
      <w:r w:rsidRPr="00464420">
        <w:rPr>
          <w:rFonts w:ascii="Verdana" w:hAnsi="Verdana"/>
          <w:sz w:val="19"/>
          <w:szCs w:val="19"/>
        </w:rPr>
        <w:t>Jombang</w:t>
      </w:r>
      <w:proofErr w:type="spellEnd"/>
      <w:r w:rsidRPr="00464420">
        <w:rPr>
          <w:rFonts w:ascii="Verdana" w:hAnsi="Verdana"/>
          <w:sz w:val="19"/>
          <w:szCs w:val="19"/>
        </w:rPr>
        <w:t xml:space="preserve"> region, with the more populous districts having </w:t>
      </w:r>
      <w:r w:rsidR="00605CC8" w:rsidRPr="00464420">
        <w:rPr>
          <w:rFonts w:ascii="Verdana" w:hAnsi="Verdana"/>
          <w:sz w:val="19"/>
          <w:szCs w:val="19"/>
        </w:rPr>
        <w:t>a greater</w:t>
      </w:r>
      <w:r w:rsidRPr="00464420">
        <w:rPr>
          <w:rFonts w:ascii="Verdana" w:hAnsi="Verdana"/>
          <w:sz w:val="19"/>
          <w:szCs w:val="19"/>
        </w:rPr>
        <w:t xml:space="preserve"> number of cases. Similarly, the most populous district in Bandung city also has the most occurrence of diarrhea </w:t>
      </w:r>
      <w:r w:rsidRPr="00464420">
        <w:rPr>
          <w:rFonts w:ascii="Verdana" w:hAnsi="Verdana"/>
          <w:sz w:val="19"/>
          <w:szCs w:val="19"/>
        </w:rPr>
        <w:fldChar w:fldCharType="begin" w:fldLock="1"/>
      </w:r>
      <w:r w:rsidR="002E23CC">
        <w:rPr>
          <w:rFonts w:ascii="Verdana" w:hAnsi="Verdana"/>
          <w:sz w:val="19"/>
          <w:szCs w:val="19"/>
        </w:rPr>
        <w:instrText>ADDIN CSL_CITATION {"citationItems":[{"id":"ITEM-1","itemData":{"author":[{"dropping-particle":"","family":"Tantular","given":"Bertho","non-dropping-particle":"","parse-names":false,"suffix":""},{"dropping-particle":"","family":"Ruslaela","given":"Elsa","non-dropping-particle":"","parse-names":false,"suffix":""},{"dropping-particle":"","family":"Jaya","given":"I Gede Nyoman Mindra","non-dropping-particle":"","parse-names":false,"suffix":""},{"dropping-particle":"","family":"Zulhanif","given":"","non-dropping-particle":"","parse-names":false,"suffix":""}],"container-title":"Seminar Statistika FMIPA Unpad 2018 (SNS VII)","id":"ITEM-1","issued":{"date-parts":[["2018"]]},"title":"PEMETAAN PENYAKIT DIARE DI KOTA BANDUNG DENGAN ANALISIS LOCAL MORAN ’ S","type":"paper-conference"},"uris":["http://www.mendeley.com/documents/?uuid=5b06dd7b-7db2-433f-bd84-c94e8f526c8c","http://www.mendeley.com/documents/?uuid=fa177c86-bfdb-40c5-99fc-39b1386cd5ea","http://www.mendeley.com/documents/?uuid=7cddac6d-39f7-4fd5-8906-c35692baed8f","http://www.mendeley.com/documents/?uuid=d33670bc-de84-49f6-8a9f-0a44eac841f6"]}],"mendeley":{"formattedCitation":"(Bertho Tantular, Ruslaela, Jaya, &amp; Zulhanif, 2018)","plainTextFormattedCitation":"(Bertho Tantular, Ruslaela, Jaya, &amp; Zulhanif, 2018)","previouslyFormattedCitation":"(Bertho Tantular, Ruslaela, Jaya, &amp; Zulhanif, 2018)"},"properties":{"noteIndex":0},"schema":"https://github.com/citation-style-language/schema/raw/master/csl-citation.json"}</w:instrText>
      </w:r>
      <w:r w:rsidRPr="00464420">
        <w:rPr>
          <w:rFonts w:ascii="Verdana" w:hAnsi="Verdana"/>
          <w:sz w:val="19"/>
          <w:szCs w:val="19"/>
        </w:rPr>
        <w:fldChar w:fldCharType="separate"/>
      </w:r>
      <w:r w:rsidR="002E23CC" w:rsidRPr="002E23CC">
        <w:rPr>
          <w:rFonts w:ascii="Verdana" w:hAnsi="Verdana"/>
          <w:noProof/>
          <w:sz w:val="19"/>
          <w:szCs w:val="19"/>
        </w:rPr>
        <w:t>(Bertho Tantular, Ruslaela, Jaya, &amp; Zulhanif, 2018)</w:t>
      </w:r>
      <w:r w:rsidRPr="00464420">
        <w:rPr>
          <w:rFonts w:ascii="Verdana" w:hAnsi="Verdana"/>
          <w:sz w:val="19"/>
          <w:szCs w:val="19"/>
        </w:rPr>
        <w:fldChar w:fldCharType="end"/>
      </w:r>
      <w:r w:rsidRPr="00464420">
        <w:rPr>
          <w:rFonts w:ascii="Verdana" w:hAnsi="Verdana"/>
          <w:sz w:val="19"/>
          <w:szCs w:val="19"/>
        </w:rPr>
        <w:t xml:space="preserve">. More populous regions pose the risk of dense neighborhoods, increasing the risk of infection spreading among the </w:t>
      </w:r>
      <w:r w:rsidR="00605CC8" w:rsidRPr="00464420">
        <w:rPr>
          <w:rFonts w:ascii="Verdana" w:hAnsi="Verdana"/>
          <w:sz w:val="19"/>
          <w:szCs w:val="19"/>
        </w:rPr>
        <w:t>neighborhoods</w:t>
      </w:r>
      <w:r w:rsidRPr="00464420">
        <w:rPr>
          <w:rFonts w:ascii="Verdana" w:hAnsi="Verdana"/>
          <w:sz w:val="19"/>
          <w:szCs w:val="19"/>
        </w:rPr>
        <w:t xml:space="preserve">. </w:t>
      </w:r>
      <w:r w:rsidR="002909CD" w:rsidRPr="00464420">
        <w:rPr>
          <w:rFonts w:ascii="Verdana" w:hAnsi="Verdana"/>
          <w:sz w:val="19"/>
          <w:szCs w:val="19"/>
        </w:rPr>
        <w:t>This seems</w:t>
      </w:r>
      <w:r w:rsidRPr="00464420">
        <w:rPr>
          <w:rFonts w:ascii="Verdana" w:hAnsi="Verdana"/>
          <w:sz w:val="19"/>
          <w:szCs w:val="19"/>
        </w:rPr>
        <w:t xml:space="preserve"> to be in line with findings on population density and its link to the spread of TBC, diarrhea, and dengue fever.</w:t>
      </w:r>
    </w:p>
    <w:p w14:paraId="76BD2852" w14:textId="518C9A7B" w:rsidR="000E540A" w:rsidRPr="00464420" w:rsidRDefault="000E540A" w:rsidP="000E540A">
      <w:pPr>
        <w:spacing w:before="80" w:after="0"/>
        <w:ind w:firstLine="720"/>
        <w:jc w:val="both"/>
        <w:rPr>
          <w:rFonts w:ascii="Verdana" w:hAnsi="Verdana"/>
          <w:sz w:val="19"/>
          <w:szCs w:val="19"/>
        </w:rPr>
      </w:pPr>
      <w:r w:rsidRPr="00464420">
        <w:rPr>
          <w:rFonts w:ascii="Verdana" w:hAnsi="Verdana"/>
          <w:sz w:val="19"/>
          <w:szCs w:val="19"/>
        </w:rPr>
        <w:t xml:space="preserve">For the relationship between population and the number of dengue fever, diarrhea, and TBC cases found, the results are positive. The results mean that the more population a district has, the more cases of diarrhea, dengue fever, and TBC they will have. This is significant at 1% and in line with the previously mentioned studies where more populous areas tend to have more incidence </w:t>
      </w:r>
      <w:r w:rsidRPr="00464420">
        <w:rPr>
          <w:rFonts w:ascii="Verdana" w:hAnsi="Verdana"/>
          <w:sz w:val="19"/>
          <w:szCs w:val="19"/>
        </w:rPr>
        <w:lastRenderedPageBreak/>
        <w:t xml:space="preserve">of dengue fever, diarrhea, and TBC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{"citationItems":[{"id":"ITEM-1","itemData":{"author":[{"dropping-particle":"","family":"Faldy","given":"Ristanto","non-dropping-particle":"","parse-names":false,"suffix":""},{"dropping-particle":"","family":"Kaunang","given":"Wulan P J","non-dropping-particle":"","parse-names":false,"suffix":""},{"dropping-particle":"","family":"Pandelaki","given":"A J","non-dropping-particle":"","parse-names":false,"suffix":""}],"container-title":"Jurnal Kedokteran Komunitas dan Tropik","id":"ITEM-1","issue":"2","issued":{"date-parts":[["2015"]]},"page":"73-81","title":"Pemetaan Kasus Demam Berdarah Dengue di Kabupaten Minahasa Utara","type":"article-journal","volume":"3"},"uris":["http://www.mendeley.com/documents/?uuid=18b9c6c3-44d1-4efe-a2b3-abc0a05e699e","http://www.mendeley.com/documents/?uuid=87da2304-3593-4c2e-8d4f-bd8676b60eb2","http://www.mendeley.com/documents/?uuid=d8c74427-3cbf-4554-a3d0-25230e6de6c1","http://www.mendeley.com/documents/?uuid=f980d590-9110-42ce-9b52-3f82defb7bb1"]},{"id":"ITEM-2","itemData":{"author":[{"dropping-particle":"","family":"Pratama","given":"Wahendra","non-dropping-particle":"","parse-names":false,"suffix":""},{"dropping-particle":"","family":"Wulandari","given":"Sri Pingit","non-dropping-particle":"","parse-names":false,"suffix":""}],"id":"ITEM-2","issue":"1","issued":{"date-parts":[["2015"]]},"page":"37-42","title":"Pemetaan dan Pemodelan Jumlah Kasus Penyakit Tuberculosis ( TBC ) di Provinsi Jawa Barat dengan Pendekatan Geographically Weighted Negative Binomial Regression","type":"article-journal","volume":"4"},"uris":["http://www.mendeley.com/documents/?uuid=3a99dca0-1238-4a53-b108-1bb3ab2b1645","http://www.mendeley.com/documents/?uuid=b76973c3-a69d-47a8-9ff9-8d8eb66c9415","http://www.mendeley.com/documents/?uuid=28eeb35b-2b12-4aaa-9655-19b5ba296ede","http://www.mendeley.com/documents/?uuid=6ef95cad-dbfc-4980-a897-92d52ce1247d","http://www.mendeley.com/documents/?uuid=da1e1123-d4d0-4e72-9a7b-37e0339a3e67","http://www.mendeley.com/documents/?uuid=a5ecfc43-5415-4a75-a094-1a04cd32f52d","http://www.mendeley.com/documents/?uuid=ebce95f6-d317-410f-b55b-941ba4fa15dc"]},{"id":"ITEM-3","itemData":{"author":[{"dropping-particle":"","family":"Tantular","given":"Bertho","non-dropping-particle":"","parse-names":false,"suffix":""},{"dropping-particle":"","family":"Ruslaela","given":"Elsa","non-dropping-particle":"","parse-names":false,"suffix":""},{"dropping-particle":"","family":"Jaya","given":"I Gede Nyoman Mindra","non-dropping-particle":"","parse-names":false,"suffix":""},{"dropping-particle":"","family":"Zulhanif","given":"","non-dropping-particle":"","parse-names":false,"suffix":""}],"container-title":"Seminar Statistika FMIPA Unpad 2018 (SNS VII)","id":"ITEM-3","issued":{"date-parts":[["2018"]]},"title":"PEMETAAN PENYAKIT DIARE DI KOTA BANDUNG DENGAN ANALISIS LOCAL MORAN ’ S","type":"paper-conference"},"uris":["http://www.mendeley.com/documents/?uuid=d33670bc-de84-49f6-8a9f-0a44eac841f6","http://www.mendeley.com/documents/?uuid=7cddac6d-39f7-4fd5-8906-c35692baed8f","http://www.mendeley.com/documents/?uuid=fa177c86-bfdb-40c5-99fc-39b1386cd5ea","http://www.mendeley.com/documents/?uuid=5b06dd7b-7db2-433f-bd84-c94e8f526c8c","http://www.mendeley.com/documents/?uuid=827e8cc9-830d-4136-8f20-459342a28490","http://www.mendeley.com/documents/?uuid=91b6f809-e7fa-4c48-96af-7c9fcc26cfa2","http://www.mendeley.com/documents/?uuid=f393ad7f-e231-469a-85e8-b8ce82dfa49c"]}],"mendeley":{"formattedCitation":"(Faldy et al., 2015; Pratama &amp; Wulandari, 2015; Bertho Tantular et al., 2018)","plainTextFormattedCitation":"(Faldy et al., 2015; Pratama &amp; Wulandari, 2015; Bertho Tantular et al., 2018)","previouslyFormattedCitation":"(Faldy et al., 2015; Pratama &amp; Wulandari, 2015; Bertho Tantular et al., 2018)"},"properties":{"noteIndex":0},"schema":"https://github.com/citation-style-language/schema/raw/master/csl-citation.json"}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(Faldy et al., 2015; Pratama &amp; Wulandari, 2015; Bertho Tantular et al., 2018)</w:t>
      </w:r>
      <w:r w:rsidRPr="00464420">
        <w:rPr>
          <w:rFonts w:ascii="Verdana" w:hAnsi="Verdana"/>
          <w:sz w:val="19"/>
          <w:szCs w:val="19"/>
        </w:rPr>
        <w:fldChar w:fldCharType="end"/>
      </w:r>
      <w:r w:rsidRPr="00464420">
        <w:rPr>
          <w:rFonts w:ascii="Verdana" w:hAnsi="Verdana"/>
          <w:sz w:val="19"/>
          <w:szCs w:val="19"/>
        </w:rPr>
        <w:t>.  More populous areas generally have dense housing that may speed up the spread of the disease, on top of unfavorable living conditions. Thus, we cannot take away the issue of population from density.</w:t>
      </w:r>
    </w:p>
    <w:p w14:paraId="6C113CC8" w14:textId="39A0174E" w:rsidR="000E540A" w:rsidRPr="00464420" w:rsidRDefault="000E540A" w:rsidP="000E540A">
      <w:pPr>
        <w:spacing w:before="80" w:after="0"/>
        <w:ind w:firstLine="720"/>
        <w:jc w:val="both"/>
        <w:rPr>
          <w:rFonts w:ascii="Verdana" w:hAnsi="Verdana"/>
          <w:sz w:val="19"/>
          <w:szCs w:val="19"/>
        </w:rPr>
      </w:pPr>
      <w:r w:rsidRPr="00464420">
        <w:rPr>
          <w:rFonts w:ascii="Verdana" w:hAnsi="Verdana"/>
          <w:sz w:val="19"/>
          <w:szCs w:val="19"/>
        </w:rPr>
        <w:t>From the regression results, the effect of population density is significant</w:t>
      </w:r>
      <w:r w:rsidR="00605CC8" w:rsidRPr="00464420">
        <w:rPr>
          <w:rFonts w:ascii="Verdana" w:hAnsi="Verdana"/>
          <w:sz w:val="19"/>
          <w:szCs w:val="19"/>
        </w:rPr>
        <w:t xml:space="preserve"> but positive</w:t>
      </w:r>
      <w:r w:rsidRPr="00464420">
        <w:rPr>
          <w:rFonts w:ascii="Verdana" w:hAnsi="Verdana"/>
          <w:sz w:val="19"/>
          <w:szCs w:val="19"/>
        </w:rPr>
        <w:t xml:space="preserve"> at different levels for each disease. Diarrhea, which is highly related to hygiene in one’s neighborhood, is at 1% significant level. As a disease, diarrhea spreads very fast in a short time and it’s heavily dependent on health behaviors as well as sanitation. Neighborhoods can influence an individual’s health habits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{"citationItems":[{"id":"ITEM-1","itemData":{"DOI":"10.1093/aje/kwx113","ISSN":"14766256","PMID":"9215223","abstract":"The authors investigated whether neighborhood socioeconomic characteristics are associated with coronary heart disease prevalence and risk factors, whether these associations persist after adjustment for individuai-Iovel social class indicators, and whether the effects of individual-level indicators vary across neighborhoods. The study sample consisted of 12,601 persons in four US communities Washington County, Maryland; Forsyth County, North Carolina; Minneapolis, Minnesota; and Jackson, Mississippi) participating in the baseline examination of the Atherosclerosis Risk In Ccmrnunfties Study (1987-1989). Neighborhood characteristics were obtained from 1990 US Census block-group measures. Muttilevel models were used to estimate associations with neighbortood variables after adjustment for individual-level indicators of social class. Living in deprived neighborhoods was associated with increased prevalence of coronary heart disease and increased levels of nsk factors, with associations generally persisting after adjustment for individual-level variables. lnconsisten associations were documented for serum cholesterol and disease prevalence in African-American men. For Jackson African-American men living in poor neighborhoods, coronary heart disease prevalence decreased as neighborhood characteristics worsened. Additionally, in Affican-Ameiican men from Jackson, low social class was associated with Increased seum cholesterol in richer\" neighborhoods but decreased serum cholesterol in \"poorer\" neighborhoods. Neighborhood environments may be one of the pathways through which social structure shapes coronary heart disease risk.","author":[{"dropping-particle":"V.","family":"Diez-Roux","given":"Ana","non-dropping-particle":"","parse-names":false,"suffix":""},{"dropping-particle":"","family":"Javier Nieto","given":"F.","non-dropping-particle":"","parse-names":false,"suffix":""},{"dropping-particle":"","family":"Muntaner","given":"Caries","non-dropping-particle":"","parse-names":false,"suffix":""},{"dropping-particle":"","family":"Tyroler","given":"Herman A.","non-dropping-particle":"","parse-names":false,"suffix":""},{"dropping-particle":"","family":"Comstock","given":"George W.","non-dropping-particle":"","parse-names":false,"suffix":""},{"dropping-particle":"","family":"Shahar","given":"Eyal","non-dropping-particle":"","parse-names":false,"suffix":""},{"dropping-particle":"","family":"Cooper","given":"Lawton S.","non-dropping-particle":"","parse-names":false,"suffix":""},{"dropping-particle":"","family":"Watson","given":"Robert L.","non-dropping-particle":"","parse-names":false,"suffix":""},{"dropping-particle":"","family":"Szklo","given":"Moyses","non-dropping-particle":"","parse-names":false,"suffix":""}],"container-title":"American Journal of Epidemiology","id":"ITEM-1","issue":"11","issued":{"date-parts":[["2017"]]},"page":"1187-1202","title":"Neighborhood Environments and Coronary Heart Disease: A Multilevel Analysis","type":"article-journal","volume":"185"},"uris":["http://www.mendeley.com/documents/?uuid=bc4ff908-d5d9-4def-95eb-cbea5d1328fc","http://www.mendeley.com/documents/?uuid=423d7e49-2c81-487b-b5e4-62e5451bd8e3","http://www.mendeley.com/documents/?uuid=149b8ab9-510d-4eea-a175-a6e9857275fa","http://www.mendeley.com/documents/?uuid=e1dd2ae3-51fb-421f-83aa-59ab610d0167"]}],"mendeley":{"formattedCitation":"(Diez-Roux et al., 2017)","plainTextFormattedCitation":"(Diez-Roux et al., 2017)","previouslyFormattedCitation":"(Diez-Roux et al., 2017)"},"properties":{"noteIndex":0},"schema":"https://github.com/citation-style-language/schema/raw/master/csl-citation.json"}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(Diez-Roux et al., 2017)</w:t>
      </w:r>
      <w:r w:rsidRPr="00464420">
        <w:rPr>
          <w:rFonts w:ascii="Verdana" w:hAnsi="Verdana"/>
          <w:sz w:val="19"/>
          <w:szCs w:val="19"/>
        </w:rPr>
        <w:fldChar w:fldCharType="end"/>
      </w:r>
      <w:r w:rsidRPr="00464420">
        <w:rPr>
          <w:rFonts w:ascii="Verdana" w:hAnsi="Verdana"/>
          <w:sz w:val="19"/>
          <w:szCs w:val="19"/>
        </w:rPr>
        <w:t xml:space="preserve"> and a neighborhood without a proper toilet may put the whole neighborhood at risk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{"citationItems":[{"id":"ITEM-1","itemData":{"DOI":"10.12927/whp.2005.17646","author":[{"dropping-particle":"","family":"Boadi","given":"Kwasi Owusu","non-dropping-particle":"","parse-names":false,"suffix":""},{"dropping-particle":"","family":"Kuitunen","given":"Markku","non-dropping-particle":"","parse-names":false,"suffix":""}],"id":"ITEM-1","issue":"January 2016","issued":{"date-parts":[["2002"]]},"title":"Childhood diarrheal morbidity in the Accra Metropolitan Area, Ghana: Socio-economic, environmental and behavioral risk determinants","type":"article-journal"},"uris":["http://www.mendeley.com/documents/?uuid=d1541c8b-e45d-43b0-b49e-a84e8115d7e7","http://www.mendeley.com/documents/?uuid=f1c5cb47-0815-40c2-ab35-df91ad4d7908","http://www.mendeley.com/documents/?uuid=be7fa621-4c85-44ea-b6ad-cfcde1f89199","http://www.mendeley.com/documents/?uuid=4a30aaa7-1e1d-4168-b606-a8ee4eaec95d"]},{"id":"ITEM-2","itemData":{"author":[{"dropping-particle":"","family":"Kamilla","given":"Laila","non-dropping-particle":"","parse-names":false,"suffix":""},{"dropping-particle":"","family":"Suhartono","given":"","non-dropping-particle":"","parse-names":false,"suffix":""},{"dropping-particle":"","family":"W","given":"Nur Endah","non-dropping-particle":"","parse-names":false,"suffix":""}],"container-title":"Jurnal Kesehatan Lingkungan Indonesia","id":"ITEM-2","issue":"2","issued":{"date-parts":[["2012"]]},"title":"Hubungan Praktek Personal Hygiene Ibu dan Kondisi Sanitasi Lingkungan Rumah dengan Kejadian Diare pada Balita di Puskesmas Kampung Dalam Kecamatan Pontianak Timur The Relationship of Maternal Personal Hygiene and Housing Environmental Sanitation to Pontia","type":"article-journal","volume":"11"},"uris":["http://www.mendeley.com/documents/?uuid=9b08becf-4b01-4989-8526-c87dcaaf9ca0","http://www.mendeley.com/documents/?uuid=99559fc6-0cf0-4cd5-83c5-dd2f656044c9","http://www.mendeley.com/documents/?uuid=28dd517d-f57a-41a3-afd9-471ad07d1dc9","http://www.mendeley.com/documents/?uuid=4eea7de0-ab68-46dd-9e57-bae7403c030d"]}],"mendeley":{"formattedCitation":"(Boadi &amp; Kuitunen, 2002; Kamilla, Suhartono, &amp; W, 2012)","plainTextFormattedCitation":"(Boadi &amp; Kuitunen, 2002; Kamilla, Suhartono, &amp; W, 2012)","previouslyFormattedCitation":"(Boadi &amp; Kuitunen, 2002; Kamilla, Suhartono, &amp; W, 2012)"},"properties":{"noteIndex":0},"schema":"https://github.com/citation-style-language/schema/raw/master/csl-citation.json"}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(Boadi &amp; Kuitunen, 2002; Kamilla, Suhartono, &amp; W, 2012)</w:t>
      </w:r>
      <w:r w:rsidRPr="00464420">
        <w:rPr>
          <w:rFonts w:ascii="Verdana" w:hAnsi="Verdana"/>
          <w:sz w:val="19"/>
          <w:szCs w:val="19"/>
        </w:rPr>
        <w:fldChar w:fldCharType="end"/>
      </w:r>
      <w:r w:rsidRPr="00464420">
        <w:rPr>
          <w:rFonts w:ascii="Verdana" w:hAnsi="Verdana"/>
          <w:sz w:val="19"/>
          <w:szCs w:val="19"/>
        </w:rPr>
        <w:t xml:space="preserve">.  The results are in line with precious research using population density to predict the risk of diarrhea incidence in Bandung city </w:t>
      </w:r>
      <w:r w:rsidRPr="00464420">
        <w:rPr>
          <w:rFonts w:ascii="Verdana" w:hAnsi="Verdana"/>
          <w:sz w:val="19"/>
          <w:szCs w:val="19"/>
        </w:rPr>
        <w:fldChar w:fldCharType="begin" w:fldLock="1"/>
      </w:r>
      <w:r w:rsidR="002E23CC">
        <w:rPr>
          <w:rFonts w:ascii="Verdana" w:hAnsi="Verdana"/>
          <w:sz w:val="19"/>
          <w:szCs w:val="19"/>
        </w:rPr>
        <w:instrText>ADDIN CSL_CITATION {"citationItems":[{"id":"ITEM-1","itemData":{"author":[{"dropping-particle":"","family":"Tantular","given":"Berto","non-dropping-particle":"","parse-names":false,"suffix":""},{"dropping-particle":"","family":"Nurfauziyah","given":"Syifa","non-dropping-particle":"","parse-names":false,"suffix":""},{"dropping-particle":"","family":"Jaya","given":"I Gede Nyoman Mindra","non-dropping-particle":"","parse-names":false,"suffix":""},{"dropping-particle":"","family":"Zulhanif","given":"","non-dropping-particle":"","parse-names":false,"suffix":""}],"id":"ITEM-1","issued":{"date-parts":[["2007"]]},"title":"Pemodelan resiko relatif penyakit diare di kota bandung dengan regresi spasial","type":"article-journal"},"uris":["http://www.mendeley.com/documents/?uuid=4e96e7c6-6f78-49f8-87fd-9c9ffc2a0227","http://www.mendeley.com/documents/?uuid=8092c4ba-f9f7-4698-8bc0-06f9583a5750","http://www.mendeley.com/documents/?uuid=e6d655cf-ca57-45d2-8cf7-b9a63bb63b83","http://www.mendeley.com/documents/?uuid=8913e4c9-ddc2-4ae8-a4e9-5cd4326f447b"]}],"mendeley":{"formattedCitation":"(Berto Tantular, Nurfauziyah, Jaya, &amp; Zulhanif, 2007)","plainTextFormattedCitation":"(Berto Tantular, Nurfauziyah, Jaya, &amp; Zulhanif, 2007)","previouslyFormattedCitation":"(Berto Tantular, Nurfauziyah, Jaya, &amp; Zulhanif, 2007)"},"properties":{"noteIndex":0},"schema":"https://github.com/citation-style-language/schema/raw/master/csl-citation.json"}</w:instrText>
      </w:r>
      <w:r w:rsidRPr="00464420">
        <w:rPr>
          <w:rFonts w:ascii="Verdana" w:hAnsi="Verdana"/>
          <w:sz w:val="19"/>
          <w:szCs w:val="19"/>
        </w:rPr>
        <w:fldChar w:fldCharType="separate"/>
      </w:r>
      <w:r w:rsidR="005E5F80" w:rsidRPr="005E5F80">
        <w:rPr>
          <w:rFonts w:ascii="Verdana" w:hAnsi="Verdana"/>
          <w:noProof/>
          <w:sz w:val="19"/>
          <w:szCs w:val="19"/>
        </w:rPr>
        <w:t>(Berto Tantular, Nurfauziyah, Jaya, &amp; Zulhanif, 2007)</w:t>
      </w:r>
      <w:r w:rsidRPr="00464420">
        <w:rPr>
          <w:rFonts w:ascii="Verdana" w:hAnsi="Verdana"/>
          <w:sz w:val="19"/>
          <w:szCs w:val="19"/>
        </w:rPr>
        <w:fldChar w:fldCharType="end"/>
      </w:r>
      <w:r w:rsidRPr="00464420">
        <w:rPr>
          <w:rFonts w:ascii="Verdana" w:hAnsi="Verdana"/>
          <w:sz w:val="19"/>
          <w:szCs w:val="19"/>
        </w:rPr>
        <w:t>.</w:t>
      </w:r>
    </w:p>
    <w:p w14:paraId="6C55B100" w14:textId="76F86696" w:rsidR="000E540A" w:rsidRPr="00464420" w:rsidRDefault="000E540A" w:rsidP="000E540A">
      <w:pPr>
        <w:spacing w:before="80" w:after="0"/>
        <w:ind w:firstLine="720"/>
        <w:jc w:val="both"/>
        <w:rPr>
          <w:rFonts w:ascii="Verdana" w:hAnsi="Verdana"/>
          <w:sz w:val="19"/>
          <w:szCs w:val="19"/>
        </w:rPr>
      </w:pPr>
      <w:r w:rsidRPr="00464420">
        <w:rPr>
          <w:rFonts w:ascii="Verdana" w:hAnsi="Verdana"/>
          <w:sz w:val="19"/>
          <w:szCs w:val="19"/>
        </w:rPr>
        <w:t xml:space="preserve">This is followed by TBC which is significant at 5%. Denser population mean more people live in small unventilated houses that has little to no sunlight exposure, a perfect place for TBC to breed. An overcrowded house also means easier transmission between household members. Another factor that may influence is that individuals in overcrowded housing are more likely to have risk factors that progress TB infections to disease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{"citationItems":[{"id":"ITEM-1","itemData":{"DOI":"10.1093/ije/31.5.940","ISSN":"03005771","abstract":"Background. First Nations communities in Canada experience disproportionately high levels of overcrowded housing, degree of isolation, and rates of tuberculosis (TB). A study was done to assess the association between housing density, isolation, and the occurrence of TB in First Nations communities. Methods. Average persons per room (ppr), isolation type, average household income, population, and TB cases (1997–1999) at the community level were entered into a database. Tuberculosis notification rates and 95% CI were calculated for different strata of ppr and isolation. Two multiple logistic regression models were developed to examine the association of ppr, isolation, income, and population with the occurrence of ≥1, or ≥2, TB cases in a community. Results. The rate was 18.9 per 100 000 (95% CI: 13.3–24.6) in communities with an average of 0.4–0.6 ppr, while communities with 1.0–1.2 ppr had a rate of 113.0 per 100 000 (95% CI: 95.4–130.5). An increase of 0.1 ppr in a community was associated with a 40% increase in risk of ≥2 TB cases occurring, while an increase of $10 000 in community household income was associated with 0.25 the risk, and being an isolated community increased risk by 2.5 times. Conclusions. This study shows a significant association between housing density, isolation, income levels, and TB. Overcrowded housing has the potential to increase exposure of susceptible individuals to infectious TB cases, and isolation from health services may increase the likelihood of TB. © 2002 Oxford University Press.","author":[{"dropping-particle":"","family":"Clark","given":"Michael","non-dropping-particle":"","parse-names":false,"suffix":""},{"dropping-particle":"","family":"Riben","given":"Peter","non-dropping-particle":"","parse-names":false,"suffix":""},{"dropping-particle":"","family":"Nowgesic","given":"Earl","non-dropping-particle":"","parse-names":false,"suffix":""}],"container-title":"International Journal of Epidemiology","id":"ITEM-1","issue":"5","issued":{"date-parts":[["2002"]]},"page":"940-945","title":"The association of housing density, isolation and tuberculosis in Canadian First Nations communities","type":"article-journal","volume":"31"},"uris":["http://www.mendeley.com/documents/?uuid=d98a2629-6257-45e3-ab82-813d9e73b82b","http://www.mendeley.com/documents/?uuid=59e73411-83bc-444b-a6be-1a9f7f46f8ba","http://www.mendeley.com/documents/?uuid=e78bb150-fe08-41e4-8731-8a6cfacb342e","http://www.mendeley.com/documents/?uuid=f1cce556-e943-479f-b21f-80c1a3b3b721"]}],"mendeley":{"formattedCitation":"(M. Clark, Riben, &amp; Nowgesic, 2002)","plainTextFormattedCitation":"(M. Clark, Riben, &amp; Nowgesic, 2002)","previouslyFormattedCitation":"(M. Clark, Riben, &amp; Nowgesic, 2002)"},"properties":{"noteIndex":0},"schema":"https://github.com/citation-style-language/schema/raw/master/csl-citation.json"}</w:instrText>
      </w:r>
      <w:r w:rsidRPr="00464420">
        <w:rPr>
          <w:rFonts w:ascii="Verdana" w:hAnsi="Verdana"/>
          <w:sz w:val="19"/>
          <w:szCs w:val="19"/>
        </w:rPr>
        <w:fldChar w:fldCharType="separate"/>
      </w:r>
      <w:r w:rsidR="00E134A2" w:rsidRPr="00464420">
        <w:rPr>
          <w:rFonts w:ascii="Verdana" w:hAnsi="Verdana"/>
          <w:noProof/>
          <w:sz w:val="19"/>
          <w:szCs w:val="19"/>
        </w:rPr>
        <w:t>(M. Clark, Riben, &amp; Nowgesic, 2002)</w:t>
      </w:r>
      <w:r w:rsidRPr="00464420">
        <w:rPr>
          <w:rFonts w:ascii="Verdana" w:hAnsi="Verdana"/>
          <w:sz w:val="19"/>
          <w:szCs w:val="19"/>
        </w:rPr>
        <w:fldChar w:fldCharType="end"/>
      </w:r>
      <w:r w:rsidRPr="00464420">
        <w:rPr>
          <w:rFonts w:ascii="Verdana" w:hAnsi="Verdana"/>
          <w:sz w:val="19"/>
          <w:szCs w:val="19"/>
        </w:rPr>
        <w:t xml:space="preserve">. Meanwhile, the effect of population density to the incidence of dengue fever is </w:t>
      </w:r>
      <w:r w:rsidR="00605CC8" w:rsidRPr="00464420">
        <w:rPr>
          <w:rFonts w:ascii="Verdana" w:hAnsi="Verdana"/>
          <w:sz w:val="19"/>
          <w:szCs w:val="19"/>
        </w:rPr>
        <w:t xml:space="preserve">significant </w:t>
      </w:r>
      <w:r w:rsidRPr="00464420">
        <w:rPr>
          <w:rFonts w:ascii="Verdana" w:hAnsi="Verdana"/>
          <w:sz w:val="19"/>
          <w:szCs w:val="19"/>
        </w:rPr>
        <w:t>at 10%. Dengue fever occur</w:t>
      </w:r>
      <w:r w:rsidR="00605CC8" w:rsidRPr="00464420">
        <w:rPr>
          <w:rFonts w:ascii="Verdana" w:hAnsi="Verdana"/>
          <w:sz w:val="19"/>
          <w:szCs w:val="19"/>
        </w:rPr>
        <w:t>s</w:t>
      </w:r>
      <w:r w:rsidRPr="00464420">
        <w:rPr>
          <w:rFonts w:ascii="Verdana" w:hAnsi="Verdana"/>
          <w:sz w:val="19"/>
          <w:szCs w:val="19"/>
        </w:rPr>
        <w:t xml:space="preserve"> in clusters in populated areas, making it easier to spread in dense neighborhoods </w:t>
      </w:r>
      <w:r w:rsidRPr="00464420">
        <w:rPr>
          <w:rFonts w:ascii="Verdana" w:hAnsi="Verdana"/>
          <w:sz w:val="19"/>
          <w:szCs w:val="19"/>
        </w:rPr>
        <w:fldChar w:fldCharType="begin" w:fldLock="1"/>
      </w:r>
      <w:r w:rsidR="00D10A8A">
        <w:rPr>
          <w:rFonts w:ascii="Verdana" w:hAnsi="Verdana"/>
          <w:sz w:val="19"/>
          <w:szCs w:val="19"/>
        </w:rPr>
        <w:instrText>ADDIN CSL_CITATION {"citationItems":[{"id":"ITEM-1","itemData":{"DOI":"10.15294/ujph.v5i1.9703","ISSN":"2252-6781","abstract":"Abstrak\r Puskesmas Kedungmundu merupakan wilayah endemis DBD dengan kasus yang tinggi. Diperlukan upaya dalam menentukan kebijakan strategi pengendalian vektor secara efektif dan efisien. Analisis spasial dalam SIG dapat digunakan untuk mengetahui pola penyebaran dan daerah potensi penularan DBD. Jenis penelitian ini adalah penelitian deskriptif analitik menggunakan pendekatan cross sectional. Teknik pengambilan sampel menggunakan sampel wilayah memperhatikan proporsi sampel dengan jumlah sampel 146 responden. Pengambilan titik koordinat menggunakan GPS. Analisis data menggunakan analisis univariat dan analisis spasial. Hasil perhitungan statistik spasial ANN diperoleh nilai Z-score = -11,054 terdapat pola spasial kasus DBD di wilayah kerja Puskesmas Kedungmundu. Nilai ANN = 0,52 &lt; 1, artinya pola penyebaran kejadian DBD yang terjadi adalah berkerumun. Kesimpulan dalam penelitian ini sebaran kasus DBD memiliki keterkaitan secara spasial dengan kepadatan penduduk.\r Abstract\r Kedungmundu PHC is an endemich region with a high case. Be required to determine policy of vector control strategies effectively and efficiently. Spatial analsys in GIS can be used to determine the pattern of distribution and areas of DHF potential transmission. The type this research was analysis descriptive with cross sectional approach. The sampling technique used a sample area of attention to the proportion of the sample with 146 respondents of total sample. Capturing the coordinates used GPS. Data analisys used univariat and spatial analisys. Result of ANN obtained a Z-score= -11,054, there was a spatial pattern of dengue cases in Kedungmundu PHC. ANN value = 0,52 &lt; 1, it meant that the pattern of DHF distribution was clustered. The conclution of this research was DHF distribution cases has spatial correlation with density population.","author":[{"dropping-particle":"","family":"Kusuma","given":"Agcrista Permata","non-dropping-particle":"","parse-names":false,"suffix":""},{"dropping-particle":"","family":"Sukendra","given":"Dyah Mahendrasari","non-dropping-particle":"","parse-names":false,"suffix":""}],"container-title":"Unnes Journal of Public Health","id":"ITEM-1","issue":"1","issued":{"date-parts":[["2016"]]},"page":"48","title":"Analisis Spasial Kejadian Demam Berdarah Dengue Berdasarkan Kepadatan Penduduk","type":"article-journal","volume":"5"},"uris":["http://www.mendeley.com/documents/?uuid=343d235d-58dd-48be-8eb9-624f17bb8170","http://www.mendeley.com/documents/?uuid=1f8351d5-f682-4370-a2e7-f042a27942b3","http://www.mendeley.com/documents/?uuid=25b22f6b-cc09-4d97-85fa-4b9bf982bfcd","http://www.mendeley.com/documents/?uuid=e024aa5a-3059-4483-87b8-b6c1bdf880eb"]}],"mendeley":{"formattedCitation":"(Kusuma &amp; Sukendra, 2016)","plainTextFormattedCitation":"(Kusuma &amp; Sukendra, 2016)","previouslyFormattedCitation":"(Kusuma &amp; Sukendra, 2016)"},"properties":{"noteIndex":0},"schema":"https://github.com/citation-style-language/schema/raw/master/csl-citation.json"}</w:instrText>
      </w:r>
      <w:r w:rsidRPr="00464420">
        <w:rPr>
          <w:rFonts w:ascii="Verdana" w:hAnsi="Verdana"/>
          <w:sz w:val="19"/>
          <w:szCs w:val="19"/>
        </w:rPr>
        <w:fldChar w:fldCharType="separate"/>
      </w:r>
      <w:r w:rsidRPr="00464420">
        <w:rPr>
          <w:rFonts w:ascii="Verdana" w:hAnsi="Verdana"/>
          <w:noProof/>
          <w:sz w:val="19"/>
          <w:szCs w:val="19"/>
        </w:rPr>
        <w:t>(Kusuma &amp; Sukendra, 2016)</w:t>
      </w:r>
      <w:r w:rsidRPr="00464420">
        <w:rPr>
          <w:rFonts w:ascii="Verdana" w:hAnsi="Verdana"/>
          <w:sz w:val="19"/>
          <w:szCs w:val="19"/>
        </w:rPr>
        <w:fldChar w:fldCharType="end"/>
      </w:r>
      <w:r w:rsidRPr="00464420">
        <w:rPr>
          <w:rFonts w:ascii="Verdana" w:hAnsi="Verdana"/>
          <w:sz w:val="19"/>
          <w:szCs w:val="19"/>
        </w:rPr>
        <w:t xml:space="preserve">. </w:t>
      </w:r>
    </w:p>
    <w:p w14:paraId="2E744004" w14:textId="77777777" w:rsidR="00A4031F" w:rsidRPr="00464420" w:rsidRDefault="00B92364" w:rsidP="00B92364">
      <w:pPr>
        <w:pStyle w:val="MIMBAR-Paragraf"/>
        <w:spacing w:beforeLines="80" w:before="192"/>
        <w:ind w:right="-14" w:firstLine="0"/>
        <w:jc w:val="left"/>
        <w:rPr>
          <w:b/>
        </w:rPr>
      </w:pPr>
      <w:r w:rsidRPr="00464420">
        <w:rPr>
          <w:b/>
        </w:rPr>
        <w:t>The Economic Side</w:t>
      </w:r>
    </w:p>
    <w:p w14:paraId="3CC8AC66" w14:textId="273928C0" w:rsidR="00972724" w:rsidRPr="00464420" w:rsidRDefault="00972724" w:rsidP="00972724">
      <w:pPr>
        <w:pStyle w:val="ListParagraph"/>
        <w:spacing w:before="80" w:after="0" w:line="240" w:lineRule="auto"/>
        <w:ind w:left="0" w:firstLine="835"/>
        <w:jc w:val="both"/>
        <w:rPr>
          <w:rFonts w:ascii="Verdana" w:hAnsi="Verdana" w:cs="Arial"/>
          <w:sz w:val="19"/>
          <w:szCs w:val="19"/>
        </w:rPr>
      </w:pPr>
      <w:r w:rsidRPr="00464420">
        <w:rPr>
          <w:rFonts w:ascii="Verdana" w:hAnsi="Verdana" w:cs="Arial"/>
          <w:sz w:val="19"/>
          <w:szCs w:val="19"/>
        </w:rPr>
        <w:t xml:space="preserve">Most studies on the impact of dengue fever to the economy have focused on single epidemics without considering the burden of the disease on the population and thus tend to underestimate the true economic impact of dengue fever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{"citationItems":[{"id":"ITEM-1","itemData":{"author":[{"dropping-particle":"","family":"Gulber","given":"D.J.","non-dropping-particle":"","parse-names":false,"suffix":""}],"container-title":"Trends in Microbiology","id":"ITEM-1","issue":"2","issued":{"date-parts":[["2002"]]},"page":"100-103","title":"Epidemic dengue/dengue hemorrhagic fever as a public health, social and economic problem in the 21st century","type":"article-journal","volume":"10"},"uris":["http://www.mendeley.com/documents/?uuid=0072f794-dafb-47af-8986-13c6e674ec33","http://www.mendeley.com/documents/?uuid=bbfde502-3194-4f08-988c-f01a3a7a1926","http://www.mendeley.com/documents/?uuid=06c8e5d7-4f3d-499d-bfdc-53f97d2b5b11","http://www.mendeley.com/documents/?uuid=8b4c3ca5-95a5-404d-933f-cced1b250378"]}],"mendeley":{"formattedCitation":"(Gulber, 2002)","plainTextFormattedCitation":"(Gulber, 2002)","previouslyFormattedCitation":"(Gulber, 2002)"},"properties":{"noteIndex":0},"schema":"https://github.com/citation-style-language/schema/raw/master/csl-citation.json"}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(Gulber, 2002)</w:t>
      </w:r>
      <w:r w:rsidRPr="00464420">
        <w:rPr>
          <w:rFonts w:ascii="Verdana" w:hAnsi="Verdana" w:cs="Arial"/>
          <w:sz w:val="19"/>
          <w:szCs w:val="19"/>
        </w:rPr>
        <w:fldChar w:fldCharType="end"/>
      </w:r>
      <w:r w:rsidRPr="00464420">
        <w:rPr>
          <w:rFonts w:ascii="Verdana" w:hAnsi="Verdana" w:cs="Arial"/>
          <w:sz w:val="19"/>
          <w:szCs w:val="19"/>
        </w:rPr>
        <w:t xml:space="preserve">. A study of treated dengue cases in Puerto Rico from 2002 to 2010 found that the overall annual cost of dengue was US$46.45 million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{"citationItems":[{"id":"ITEM-1","itemData":{"DOI":"10.4269/ajtmh.2012.11-0784","ISSN":"00029637","abstract":"Dengue, endemic in Puerto Rico, reached a record high in 2010. To inform policy makers, we derived annual economic cost. We assessed direct and indirect costs of hospitalized and ambulatory dengue illness in 2010 dollars through surveillance data and interviews with 100 laboratory-confirmed dengue patients treated in 2008-2010. We corrected for underreporting by using setting-specific expansion factors. Work absenteeism because of a dengue episode exceeded the absenteeism for an episode of influenza or acute otitis media. From 2002 to 2010, the aggregate annual cost of dengue illness averaged $38.7 million, of which 70% was for adults (age 15+ years). Hospitalized patients accounted for 63% of the cost of dengue illness, and fatal cases represented an additional 17%. Households funded 48% of dengue illness cost, the government funded 24%, insurance funded 22%, and employers funded 7%. Including dengue surveillance and vector control activities, the overall annual cost of dengue was $46.45 million ($12.47 per capita). Copyright © 2012 by The American Society of Tropical Medicine and Hygiene.","author":[{"dropping-particle":"","family":"Halasa","given":"Yara A.","non-dropping-particle":"","parse-names":false,"suffix":""},{"dropping-particle":"","family":"Shepard","given":"Donald S.","non-dropping-particle":"","parse-names":false,"suffix":""},{"dropping-particle":"","family":"Zeng","given":"Wu","non-dropping-particle":"","parse-names":false,"suffix":""}],"container-title":"American Journal of Tropical Medicine and Hygiene","id":"ITEM-1","issue":"5","issued":{"date-parts":[["2012"]]},"page":"745-752","title":"Economic cost of dengue in Puerto Rico","type":"article-journal","volume":"86"},"uris":["http://www.mendeley.com/documents/?uuid=a902c907-0a0a-4a04-9721-de362f0a23c7","http://www.mendeley.com/documents/?uuid=d88a32ef-b895-4c3f-ad31-71b030a66617","http://www.mendeley.com/documents/?uuid=722f3430-5924-473c-9528-26aaa0e45b2d","http://www.mendeley.com/documents/?uuid=2ab44610-bc56-47a4-a949-e19a431b64e3"]}],"mendeley":{"formattedCitation":"(Halasa, Shepard, &amp; Zeng, 2012)","plainTextFormattedCitation":"(Halasa, Shepard, &amp; Zeng, 2012)","previouslyFormattedCitation":"(Halasa, Shepard, &amp; Zeng, 2012)"},"properties":{"noteIndex":0},"schema":"https://github.com/citation-style-language/schema/raw/master/csl-citation.json"}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(Halasa, Shepard, &amp; Zeng, 2012)</w:t>
      </w:r>
      <w:r w:rsidRPr="00464420">
        <w:rPr>
          <w:rFonts w:ascii="Verdana" w:hAnsi="Verdana" w:cs="Arial"/>
          <w:sz w:val="19"/>
          <w:szCs w:val="19"/>
        </w:rPr>
        <w:fldChar w:fldCharType="end"/>
      </w:r>
      <w:r w:rsidRPr="00464420">
        <w:rPr>
          <w:rFonts w:ascii="Verdana" w:hAnsi="Verdana" w:cs="Arial"/>
          <w:sz w:val="19"/>
          <w:szCs w:val="19"/>
        </w:rPr>
        <w:t xml:space="preserve">. The study also found that household bears the largest burden in the economic cost of dengue (48%) compared to the government (24%) and insurance </w:t>
      </w:r>
      <w:r w:rsidRPr="00464420">
        <w:rPr>
          <w:rFonts w:ascii="Verdana" w:hAnsi="Verdana" w:cs="Arial"/>
          <w:sz w:val="19"/>
          <w:szCs w:val="19"/>
        </w:rPr>
        <w:lastRenderedPageBreak/>
        <w:t xml:space="preserve">(22%). Another study sought to measure the economic impact of dengue at the family level in Thailand and found that there is a financial loss of US$61 for every family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{"citationItems":[{"id":"ITEM-1","itemData":{"DOI":"10.4269/ajtmh.2005.72.786","ISSN":"00029637","abstract":"Dengue fever and dengue hemorrhagic fever constitute a substantial health burden on the population in Thailand. In this study, the impact of symptomatic dengue virus infection on the families of patients hospitalized at the Kamphaeng Phet Provincial Hospital with laboratory-confirmed dengue in 2001 was assessed, and the disability-adjusted life years (DALYs) lost for fatal and non-fatal cases of dengue were calculated using population level data for Thailand. When we accounted for the direct cost of hospitalization, indirect costs due to loss of productivity, and the average number of persons infected per family, we observed a financial loss of approximately US$61 per family, which is more than the average monthly income in Thailand. The DALYs were calculated using select results from a family level survey, and resulted in an estimated 427 DALYs/million population in 2001. This figure is of the same order of magnitude as the impact of several diseases currently given priority in southeast Asia, such as the tropical cluster (trypanosomiasis, Chagas disease, schistosomiasis, leishmaniasis, lymphatic filariasis, and onchocerciasis), malaria, meningitis, and hepatitis. These results indicate that dengue prevention, control, and research should be considered equally important as that of diseases currently given priority. Copyright © 2005 by The American Society of Tropical Medicine and Hygiene.","author":[{"dropping-particle":"V.","family":"Clark","given":"Danielle","non-dropping-particle":"","parse-names":false,"suffix":""},{"dropping-particle":"","family":"Mammen","given":"Mammen P.","non-dropping-particle":"","parse-names":false,"suffix":""},{"dropping-particle":"","family":"Nisalak","given":"Ananda","non-dropping-particle":"","parse-names":false,"suffix":""},{"dropping-particle":"","family":"Puthimethee","given":"Virat","non-dropping-particle":"","parse-names":false,"suffix":""},{"dropping-particle":"","family":"Endy","given":"Timothy P.","non-dropping-particle":"","parse-names":false,"suffix":""}],"container-title":"American Journal of Tropical Medicine and Hygiene","id":"ITEM-1","issue":"6","issued":{"date-parts":[["2005"]]},"page":"786-791","title":"Economic impact of dengue fever/dengue hemorrhagic fever in Thailand at the family and population levels","type":"article-journal","volume":"72"},"uris":["http://www.mendeley.com/documents/?uuid=4a829c70-13f1-4adb-b5dd-7e7b831208f9","http://www.mendeley.com/documents/?uuid=837edff8-5f63-4f5c-9b56-3753d891a91f","http://www.mendeley.com/documents/?uuid=32a0ef88-cd33-47b0-bc1a-1d98644b94cb","http://www.mendeley.com/documents/?uuid=edbf2963-004f-472d-acf8-542c17910ff2"]}],"mendeley":{"formattedCitation":"(D. V. Clark, Mammen, Nisalak, Puthimethee, &amp; Endy, 2005)","plainTextFormattedCitation":"(D. V. Clark, Mammen, Nisalak, Puthimethee, &amp; Endy, 2005)","previouslyFormattedCitation":"(D. V. Clark, Mammen, Nisalak, Puthimethee, &amp; Endy, 2005)"},"properties":{"noteIndex":0},"schema":"https://github.com/citation-style-language/schema/raw/master/csl-citation.json"}</w:instrText>
      </w:r>
      <w:r w:rsidRPr="00464420">
        <w:rPr>
          <w:rFonts w:ascii="Verdana" w:hAnsi="Verdana" w:cs="Arial"/>
          <w:sz w:val="19"/>
          <w:szCs w:val="19"/>
        </w:rPr>
        <w:fldChar w:fldCharType="separate"/>
      </w:r>
      <w:r w:rsidR="00E134A2" w:rsidRPr="00464420">
        <w:rPr>
          <w:rFonts w:ascii="Verdana" w:hAnsi="Verdana" w:cs="Arial"/>
          <w:noProof/>
          <w:sz w:val="19"/>
          <w:szCs w:val="19"/>
        </w:rPr>
        <w:t>(D. V. Clark, Mammen, Nisalak, Puthimethee, &amp; Endy, 2005)</w:t>
      </w:r>
      <w:r w:rsidRPr="00464420">
        <w:rPr>
          <w:rFonts w:ascii="Verdana" w:hAnsi="Verdana" w:cs="Arial"/>
          <w:sz w:val="19"/>
          <w:szCs w:val="19"/>
        </w:rPr>
        <w:fldChar w:fldCharType="end"/>
      </w:r>
      <w:r w:rsidRPr="00464420">
        <w:rPr>
          <w:rFonts w:ascii="Verdana" w:hAnsi="Verdana" w:cs="Arial"/>
          <w:sz w:val="19"/>
          <w:szCs w:val="19"/>
        </w:rPr>
        <w:t>. Both the aforementioned studies account for the opportunity cost that may arise from dengue fever.</w:t>
      </w:r>
    </w:p>
    <w:p w14:paraId="798AA1D0" w14:textId="42F44338" w:rsidR="00972724" w:rsidRPr="00464420" w:rsidRDefault="00972724" w:rsidP="00972724">
      <w:pPr>
        <w:pStyle w:val="ListParagraph"/>
        <w:spacing w:before="80" w:after="0" w:line="240" w:lineRule="auto"/>
        <w:ind w:left="0" w:firstLine="835"/>
        <w:jc w:val="both"/>
        <w:rPr>
          <w:rFonts w:ascii="Verdana" w:hAnsi="Verdana" w:cs="Arial"/>
          <w:sz w:val="19"/>
          <w:szCs w:val="19"/>
        </w:rPr>
      </w:pPr>
      <w:r w:rsidRPr="00464420">
        <w:rPr>
          <w:rFonts w:ascii="Verdana" w:hAnsi="Verdana" w:cs="Arial"/>
          <w:sz w:val="19"/>
          <w:szCs w:val="19"/>
        </w:rPr>
        <w:t xml:space="preserve">To find the overall impact of diarrhea on the economy is impossible as diarrhea has different causes and is often a symptom of a more serious disease. However, to find the impact of specific types diarrhea is still possible. Rotavirus diarrhea, a type of viral diarrhea that heavily affects children, is estimated to cause around 454,000 to 705,000 deaths in children from 2000 to 2004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{"citationItems":[{"id":"ITEM-1","itemData":{"DOI":"10.3201/eid1202.050006","ISSN":"10806059","PMID":"16494759","abstract":"Studies published between 1986 and 1999 indicated that rotavirus causes ≈22% (range 17%-28%) of childhood diarrhea hospitalizations. From 2000 to 2004, this proportion increased to 39% (range 29%-45%). Application of this proportion to the recent World Health Organization estimates of diarrhea-related childhood deaths gave an estimated 611,000 (range 454,000-705,000) rotavirus-related deaths.","author":[{"dropping-particle":"","family":"Parashar","given":"Umesh D.","non-dropping-particle":"","parse-names":false,"suffix":""},{"dropping-particle":"","family":"Gibson","given":"Christopher J.","non-dropping-particle":"","parse-names":false,"suffix":""},{"dropping-particle":"","family":"Bresee","given":"Joseph S.","non-dropping-particle":"","parse-names":false,"suffix":""},{"dropping-particle":"","family":"Glass","given":"Roger I.","non-dropping-particle":"","parse-names":false,"suffix":""}],"container-title":"Emerging Infectious Diseases","id":"ITEM-1","issue":"2","issued":{"date-parts":[["2006"]]},"page":"304-306","title":"Rotavirus and severe childhood diarrhea","type":"article-journal","volume":"12"},"uris":["http://www.mendeley.com/documents/?uuid=d86ec6e9-0e8b-4603-b968-ccc719fef39c","http://www.mendeley.com/documents/?uuid=24dae61a-f80c-4ac2-84e5-a75f9b389a6a","http://www.mendeley.com/documents/?uuid=0061b12a-94cf-4966-b7fe-ce6987dea905","http://www.mendeley.com/documents/?uuid=1f584e2f-b8da-41a3-8ded-3405e7a5cc9c"]}],"mendeley":{"formattedCitation":"(Parashar, Gibson, Bresee, &amp; Glass, 2006)","plainTextFormattedCitation":"(Parashar, Gibson, Bresee, &amp; Glass, 2006)","previouslyFormattedCitation":"(Parashar, Gibson, Bresee, &amp; Glass, 2006)"},"properties":{"noteIndex":0},"schema":"https://github.com/citation-style-language/schema/raw/master/csl-citation.json"}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(Parashar, Gibson, Bresee, &amp; Glass, 2006)</w:t>
      </w:r>
      <w:r w:rsidRPr="00464420">
        <w:rPr>
          <w:rFonts w:ascii="Verdana" w:hAnsi="Verdana" w:cs="Arial"/>
          <w:sz w:val="19"/>
          <w:szCs w:val="19"/>
        </w:rPr>
        <w:fldChar w:fldCharType="end"/>
      </w:r>
      <w:r w:rsidRPr="00464420">
        <w:rPr>
          <w:rFonts w:ascii="Verdana" w:hAnsi="Verdana" w:cs="Arial"/>
          <w:sz w:val="19"/>
          <w:szCs w:val="19"/>
        </w:rPr>
        <w:t xml:space="preserve">. In Taiwan, rotavirus-associated hospital admission costs US$10.4 million for hospital costs with an additional $13.3 million social cost annually </w:t>
      </w:r>
      <w:r w:rsidRPr="00464420">
        <w:rPr>
          <w:rFonts w:ascii="Verdana" w:hAnsi="Verdana" w:cs="Arial"/>
          <w:sz w:val="19"/>
          <w:szCs w:val="19"/>
        </w:rPr>
        <w:fldChar w:fldCharType="begin" w:fldLock="1"/>
      </w:r>
      <w:r w:rsidR="00D10A8A">
        <w:rPr>
          <w:rFonts w:ascii="Verdana" w:hAnsi="Verdana" w:cs="Arial"/>
          <w:sz w:val="19"/>
          <w:szCs w:val="19"/>
        </w:rPr>
        <w:instrText xml:space="preserve">ADDIN CSL_CITATION {"citationItems":[{"id":"ITEM-1","itemData":{"DOI":"10.1016/j.vaccine.2007.02.056","ISSN":"0264410X","abstract":"Rotavirus infection is the most important cause of diarrheal illness in small children in both developed and developing countries. In addition to causing morbidity and mortality in children, the treatment of rotavirus gastroenteritis is a major economic burden on the health care system and families. The purpose of this study was to estimate the economic burden associated with rotavirus infection in Taiwan. To do this, we combined data on the disease burden of a rotavirus-associated hospital admission with detailed cost data for a sample of 2,600 children with diarrhea who were admitted to the hospital. The annual total social and hospital costs for rotavirus-associated admission calculated from data collected during April 1, 2001 to March 31, 2003 was US $13.3 million and US $10.4 million, respectively. On average, families spent US $294 when their child's admission was associated with rotavirus infection; this cost represents </w:instrText>
      </w:r>
      <w:r w:rsidR="00D10A8A">
        <w:rPr>
          <w:rFonts w:ascii="Cambria Math" w:hAnsi="Cambria Math" w:cs="Cambria Math"/>
          <w:sz w:val="19"/>
          <w:szCs w:val="19"/>
        </w:rPr>
        <w:instrText>∼</w:instrText>
      </w:r>
      <w:r w:rsidR="00D10A8A">
        <w:rPr>
          <w:rFonts w:ascii="Verdana" w:hAnsi="Verdana" w:cs="Arial"/>
          <w:sz w:val="19"/>
          <w:szCs w:val="19"/>
        </w:rPr>
        <w:instrText>40% of the monthly salary of an unskilled or service worker. In conclusion, these data emphasize the potential for a safe and effective rotavirus vaccine to reduce the economic burden associated with rotavirus disease. © 2007 Elsevier Ltd. All rights reserved.","author":[{"dropping-particle":"","family":"Chen","given":"Kow Tong","non-dropping-particle":"","parse-names":false,"suffix":""},{"dropping-particle":"","family":"Fan","given":"Shiang Fang","non-dropping-particle":"","parse-names":false,"suffix":""},{"dropping-particle":"Bin","family":"Tang","given":"Ren","non-dropping-particle":"","parse-names":false,"suffix":""},{"dropping-particle":"","family":"Huang","given":"Yung Feng","non-dropping-particle":"","parse-names":false,"suffix":""},{"dropping-particle":"","family":"Lee","given":"Ping Ing","non-dropping-particle":"","parse-names":false,"suffix":""},{"dropping-particle":"","family":"Chen","given":"Po Yen","non-dropping-particle":"","parse-names":false,"suffix":""},{"dropping-particle":"","family":"Tang","given":"Chia Wan","non-dropping-particle":"","parse-names":false,"suffix":""},{"dropping-particle":"","family":"Chen","given":"Hui Chen","non-dropping-particle":"","parse-names":false,"suffix":""}],"container-title":"Vaccine","id":"ITEM-1","issue":"21","issued":{"date-parts":[["2007"]]},"page":"4266-4272","title":"Hospital-based study of the economic burden associated with rotavirus diarrhea in Taiwan","type":"article-journal","volume":"25"},"uris":["http://www.mendeley.com/documents/?uuid=c1c6d6a9-a824-436a-9493-e31b17327ba9","http://www.mendeley.com/documents/?uuid=e229b86c-fad8-4ae0-b486-daf00c720909","http://www.mendeley.com/documents/?uuid=cdba95ed-5a3a-46ef-acfc-18e92cec974f","http://www.mendeley.com/documents/?uuid=43c37d58-6022-4a0d-9a88-51c6161a5cb6"]}],"mendeley":{"formattedCitation":"(Chen et al., 2007)","plainTextFormattedCitation":"(Chen et al., 2007)","previouslyFormattedCitation":"(Chen et al., 2007)"},"properties":{"noteIndex":0},"schema":"https://github.com/citation-style-language/schema/raw/master/csl-citation.json"}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(Chen et al., 2007)</w:t>
      </w:r>
      <w:r w:rsidRPr="00464420">
        <w:rPr>
          <w:rFonts w:ascii="Verdana" w:hAnsi="Verdana" w:cs="Arial"/>
          <w:sz w:val="19"/>
          <w:szCs w:val="19"/>
        </w:rPr>
        <w:fldChar w:fldCharType="end"/>
      </w:r>
      <w:r w:rsidRPr="00464420">
        <w:rPr>
          <w:rFonts w:ascii="Verdana" w:hAnsi="Verdana" w:cs="Arial"/>
          <w:sz w:val="19"/>
          <w:szCs w:val="19"/>
        </w:rPr>
        <w:t xml:space="preserve">. Diarrhea caused by the same virus impose US$271.4 million in annual direct cost, US$365.0 million in annual social cost, and US$ 290.0 in annual private cost in eastern China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{"citationItems":[{"id":"ITEM-1","itemData":{"DOI":"10.1016/j.vaccine.2011.07.104","ISSN":"0264410X","abstract":"Rotavirus infection is one of the most common causes of severe diarrhea in China. To evaluate the economic burden associated with rotavirus infection of children in China, we combined data on the disease burden of rotavirus-associated costs for samples comprising 832 outpatients and 604 inpatients from five seaside cities. The average social costs and direct medical costs for rotavirus-associated admissions were calculated to be US $61.64 and US $40.73 for outpatients, and US $684.15 and US $559.48 for inpatients, respectively, from October 1, 2006 to December 1, 2007. On average, the private cost ranged from US $54.64 for outpatients to US $454.24 for inpatients when children suffered from rotavirus infection. Accordingly, this cost accounted for 35.19-293% of the monthly income of an unskilled or service worker. We estimated that the annual number of children with rotavirus diarrhea was 12.10 million. Consequently, the total annual direct cost, total annual social cost, and total annual private cost were US $271.4 million, US $365.0 million, and US $290.0 million, respectively. Furthermore, rotavirus diarrhea affected children's behavior and emotions, which had a great influence on the caretakers' quality of life. These data indicate the potential requirement for a safe and effective rotavirus vaccine to reduce the economic burden associated with rotavirus disease. © 2011 Elsevier Ltd.","author":[{"dropping-particle":"","family":"Jin","given":"Hui","non-dropping-particle":"","parse-names":false,"suffix":""},{"dropping-particle":"","family":"Wang","given":"Bei","non-dropping-particle":"","parse-names":false,"suffix":""},{"dropping-particle":"","family":"Fang","given":"Zhaoyin","non-dropping-particle":"","parse-names":false,"suffix":""},{"dropping-particle":"","family":"Duan","given":"Zhaojun","non-dropping-particle":"","parse-names":false,"suffix":""},{"dropping-particle":"","family":"Gao","given":"Qian","non-dropping-particle":"","parse-names":false,"suffix":""},{"dropping-particle":"","family":"Liu","given":"Na","non-dropping-particle":"","parse-names":false,"suffix":""},{"dropping-particle":"","family":"Zhang","given":"Lijie","non-dropping-particle":"","parse-names":false,"suffix":""},{"dropping-particle":"","family":"Qian","given":"Yuan","non-dropping-particle":"","parse-names":false,"suffix":""},{"dropping-particle":"","family":"Gong","given":"Sitang","non-dropping-particle":"","parse-names":false,"suffix":""},{"dropping-particle":"","family":"Zhu","given":"Qirong","non-dropping-particle":"","parse-names":false,"suffix":""},{"dropping-particle":"","family":"Shen","given":"Xiaona","non-dropping-particle":"","parse-names":false,"suffix":""},{"dropping-particle":"","family":"Wu","given":"Qingbin","non-dropping-particle":"","parse-names":false,"suffix":""}],"container-title":"Vaccine","id":"ITEM-1","issue":"44","issued":{"date-parts":[["2011"]]},"page":"7801-7806","publisher":"Elsevier Ltd","title":"Hospital-based study of the economic burden associated with rotavirus diarrhea in eastern China","type":"article-journal","volume":"29"},"uris":["http://www.mendeley.com/documents/?uuid=0d88b532-a41c-4ddd-90f6-2bce8d70ed82","http://www.mendeley.com/documents/?uuid=b6f8897e-1d0d-4bf2-9419-677704d6c15b","http://www.mendeley.com/documents/?uuid=5eb91e9c-6b66-4e5e-8084-c406275529a3","http://www.mendeley.com/documents/?uuid=95f9b792-0c7b-4c9a-9f1d-4bd02738ba41"]}],"mendeley":{"formattedCitation":"(Jin et al., 2011)","plainTextFormattedCitation":"(Jin et al., 2011)","previouslyFormattedCitation":"(Jin et al., 2011)"},"properties":{"noteIndex":0},"schema":"https://github.com/citation-style-language/schema/raw/master/csl-citation.json"}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(Jin et al., 2011)</w:t>
      </w:r>
      <w:r w:rsidRPr="00464420">
        <w:rPr>
          <w:rFonts w:ascii="Verdana" w:hAnsi="Verdana" w:cs="Arial"/>
          <w:sz w:val="19"/>
          <w:szCs w:val="19"/>
        </w:rPr>
        <w:fldChar w:fldCharType="end"/>
      </w:r>
      <w:r w:rsidRPr="00464420">
        <w:rPr>
          <w:rFonts w:ascii="Verdana" w:hAnsi="Verdana" w:cs="Arial"/>
          <w:sz w:val="19"/>
          <w:szCs w:val="19"/>
        </w:rPr>
        <w:t>.</w:t>
      </w:r>
    </w:p>
    <w:p w14:paraId="566EA3D2" w14:textId="2F3B6B44" w:rsidR="00972724" w:rsidRPr="00464420" w:rsidRDefault="00972724" w:rsidP="00972724">
      <w:pPr>
        <w:pStyle w:val="ListParagraph"/>
        <w:spacing w:before="80" w:after="0" w:line="240" w:lineRule="auto"/>
        <w:ind w:left="0" w:firstLine="835"/>
        <w:jc w:val="both"/>
        <w:rPr>
          <w:rFonts w:ascii="Verdana" w:hAnsi="Verdana" w:cs="Arial"/>
          <w:sz w:val="19"/>
          <w:szCs w:val="19"/>
        </w:rPr>
      </w:pPr>
      <w:r w:rsidRPr="00464420">
        <w:rPr>
          <w:rFonts w:ascii="Verdana" w:hAnsi="Verdana" w:cs="Arial"/>
          <w:sz w:val="19"/>
          <w:szCs w:val="19"/>
        </w:rPr>
        <w:t>The economic impact of tuberculosis does</w:t>
      </w:r>
      <w:r w:rsidR="00605CC8" w:rsidRPr="00464420">
        <w:rPr>
          <w:rFonts w:ascii="Verdana" w:hAnsi="Verdana" w:cs="Arial"/>
          <w:sz w:val="19"/>
          <w:szCs w:val="19"/>
        </w:rPr>
        <w:t xml:space="preserve"> not</w:t>
      </w:r>
      <w:r w:rsidRPr="00464420">
        <w:rPr>
          <w:rFonts w:ascii="Verdana" w:hAnsi="Verdana" w:cs="Arial"/>
          <w:sz w:val="19"/>
          <w:szCs w:val="19"/>
        </w:rPr>
        <w:t xml:space="preserve"> only come from the size of the problem, but also that the majority of disease and death in developing countries occur in the most economically active segment of the population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{"citationItems":[{"id":"ITEM-1","itemData":{"author":[{"dropping-particle":"","family":"Ahlburg","given":"Dennis A.","non-dropping-particle":"","parse-names":false,"suffix":""}],"id":"ITEM-1","issued":{"date-parts":[["2000"]]},"title":"The Economic Impacts of Tuberculosis","type":"report"},"uris":["http://www.mendeley.com/documents/?uuid=e87f29b1-9059-4712-bd36-9f7bc4a21091","http://www.mendeley.com/documents/?uuid=dba89096-c7bc-4452-9756-4098e67a9711","http://www.mendeley.com/documents/?uuid=80e5917f-93f1-46a4-9fac-8597f71ba4d5","http://www.mendeley.com/documents/?uuid=2f5cfa75-87ed-4aba-940f-89204d006817"]}],"mendeley":{"formattedCitation":"(Ahlburg, 2000)","plainTextFormattedCitation":"(Ahlburg, 2000)","previouslyFormattedCitation":"(Ahlburg, 2000)"},"properties":{"noteIndex":0},"schema":"https://github.com/citation-style-language/schema/raw/master/csl-citation.json"}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(Ahlburg, 2000)</w:t>
      </w:r>
      <w:r w:rsidRPr="00464420">
        <w:rPr>
          <w:rFonts w:ascii="Verdana" w:hAnsi="Verdana" w:cs="Arial"/>
          <w:sz w:val="19"/>
          <w:szCs w:val="19"/>
        </w:rPr>
        <w:fldChar w:fldCharType="end"/>
      </w:r>
      <w:r w:rsidRPr="00464420">
        <w:rPr>
          <w:rFonts w:ascii="Verdana" w:hAnsi="Verdana" w:cs="Arial"/>
          <w:sz w:val="19"/>
          <w:szCs w:val="19"/>
        </w:rPr>
        <w:t>. A study in the Philippines found that the economic loss due to premature mortality and morbidity caused by tuberculosis is approximately US$145 million. Meanwhile, the cost of treating the cases are between U</w:t>
      </w:r>
      <w:r w:rsidR="00605CC8" w:rsidRPr="00464420">
        <w:rPr>
          <w:rFonts w:ascii="Verdana" w:hAnsi="Verdana" w:cs="Arial"/>
          <w:sz w:val="19"/>
          <w:szCs w:val="19"/>
        </w:rPr>
        <w:t>S</w:t>
      </w:r>
      <w:r w:rsidRPr="00464420">
        <w:rPr>
          <w:rFonts w:ascii="Verdana" w:hAnsi="Verdana" w:cs="Arial"/>
          <w:sz w:val="19"/>
          <w:szCs w:val="19"/>
        </w:rPr>
        <w:t xml:space="preserve">$8 to US$29 million annually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{"citationItems":[{"id":"ITEM-1","itemData":{"DOI":"10.1093/heapol/czi041","ISSN":"02681080","PMID":"16155066","abstract":"Objective: To provide a multidisciplinary and comprehensive analysis on the impact of tuberculosis (TB) in a high incidence country. Methods: Data from several large scale surveys, carried out between 1997 and 2001 in the Philippines, were used to: (1) perform a burden of disease (BoD) analysis, (2) model the economic costs to society due to lost wages, and (3) determine the clinical outcomes, including the costs of care, for a hypothetical cohort of TB cases. Results: Over 500 000 disability-adjusted life years (DALYs) are lost due to illness and premature mortality from TB in the Philippines annually. This is equal to 9% of all years of life lost (YLL) in the Philippines. The combined economic losses due to premature mortality and morbidity total PhP8 billion (approximately US$145 million). Clinically, only 28% of patients with incident active TB are diagnosed and successfully treated, while 20% of patients will die without ever being diagnosed and 6% more will die after they are diagnosed because they do not receive adequate care. The costs of treating all expected cases requires between PhP475-1625 million (approximately US$8-29 million) annually. Conclusion: The high burden of disease from TB, large economic losses from mortality and morbidity from TB and the poor clinical outcomes all suggest that there is an urgent need for an increased investment in TB control. The costs of providing this treatment appear to be significantly lower than the current economic losses. © The Author 2005. Published by Oxford University Press in association with The London School of Hygiene and Tropical Medicine. All rights reserved.","author":[{"dropping-particle":"","family":"Peabody","given":"John W.","non-dropping-particle":"","parse-names":false,"suffix":""},{"dropping-particle":"","family":"Shimkhada","given":"Riti","non-dropping-particle":"","parse-names":false,"suffix":""},{"dropping-particle":"","family":"Tan","given":"Carlos","non-dropping-particle":"","parse-names":false,"suffix":""},{"dropping-particle":"","family":"Luck","given":"Jeff","non-dropping-particle":"","parse-names":false,"suffix":""}],"container-title":"Health Policy and Planning","id":"ITEM-1","issue":"6","issued":{"date-parts":[["2005"]]},"page":"347-353","title":"The burden of disease, economic costs and clinical consequences of tuberculosis in the Philippines","type":"article-journal","volume":"20"},"uris":["http://www.mendeley.com/documents/?uuid=c87f9ca4-5b0c-41ec-a036-3dd3c3deb257","http://www.mendeley.com/documents/?uuid=46de5a47-f5a8-4701-a46f-6cbe6d23d467","http://www.mendeley.com/documents/?uuid=644b6dd8-5a48-412f-80c7-65033abeb882","http://www.mendeley.com/documents/?uuid=ba70fb3e-7eab-48c9-a3bb-04dd730af104"]}],"mendeley":{"formattedCitation":"(Peabody, Shimkhada, Tan, &amp; Luck, 2005)","plainTextFormattedCitation":"(Peabody, Shimkhada, Tan, &amp; Luck, 2005)","previouslyFormattedCitation":"(Peabody, Shimkhada, Tan, &amp; Luck, 2005)"},"properties":{"noteIndex":0},"schema":"https://github.com/citation-style-language/schema/raw/master/csl-citation.json"}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(Peabody, Shimkhada, Tan, &amp; Luck, 2005)</w:t>
      </w:r>
      <w:r w:rsidRPr="00464420">
        <w:rPr>
          <w:rFonts w:ascii="Verdana" w:hAnsi="Verdana" w:cs="Arial"/>
          <w:sz w:val="19"/>
          <w:szCs w:val="19"/>
        </w:rPr>
        <w:fldChar w:fldCharType="end"/>
      </w:r>
      <w:r w:rsidRPr="00464420">
        <w:rPr>
          <w:rFonts w:ascii="Verdana" w:hAnsi="Verdana" w:cs="Arial"/>
          <w:sz w:val="19"/>
          <w:szCs w:val="19"/>
        </w:rPr>
        <w:t xml:space="preserve">. In Indonesia, the total economic burden of treated and untreated cases add up to US$6.9 billion, with loss of productivity from premature death being the biggest portion at US$6.0 billion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{"citationItems":[{"id":"ITEM-1","itemData":{"DOI":"10.5588/ijtld.16.0898","ISSN":"18157920","abstract":"SETTING: Indonesia has a high prevalence of tuberculosis (TB) and is one of the 22 countries with the highest TB burdens in the world. OBJECTIVE: To understand the economic burden of TB in Indonesia.DESIGN: TB data for 2015 were combined with cost data using a simple type of cost-benefit analysis in a decision tree model to show the economic burden under different scenarios.R E S U LT S: In Indonesia, there were an estimated 1 017 378 new active TB cases in 2015, including multidrug-resistant TB. It is estimated that 417 976 of these cases would be treated and cured, 160 830 would be unsuccessfully treated and would die, 131 571 would be untreated and would achieve cure spontaneously, and 307 000 would be untreated and would die. The total economic burden related to treated and untreated cases would be approximately US$6.9 billion. Loss of productivity due to premature death would be by far the largest element, comprising US$6.0 billion (discounted), which represents 86.6% of the total cost. Loss of productivity due to illness would be US$700 million (10.1%), provider medical costs US$156 million (2.2%), and direct non-medical costs incurred by patients and their households US$74 million (1.1%).CONCLUSION: The economic burden of TB in Indonesia is extremely high. Detecting and treating more cases would result not only in major reductions in suffering but also in economic savings to society.","author":[{"dropping-particle":"","family":"Collins","given":"D.","non-dropping-particle":"","parse-names":false,"suffix":""},{"dropping-particle":"","family":"Hafidz","given":"F.","non-dropping-particle":"","parse-names":false,"suffix":""},{"dropping-particle":"","family":"Mustikawati","given":"D.","non-dropping-particle":"","parse-names":false,"suffix":""}],"container-title":"International Journal of Tuberculosis and Lung Disease","id":"ITEM-1","issue":"9","issued":{"date-parts":[["2017"]]},"page":"1041-1048","title":"The economic burden of tuberculosis in Indonesia","type":"article-journal","volume":"21"},"uris":["http://www.mendeley.com/documents/?uuid=360ded8d-9811-4650-9ccb-6db27e6a0ffa","http://www.mendeley.com/documents/?uuid=94ebe4e4-a657-402f-b751-bdf2cedff053","http://www.mendeley.com/documents/?uuid=f597a32b-1d40-43cf-b317-aa4e73959cad"]}],"mendeley":{"formattedCitation":"(Collins, Hafidz, &amp; Mustikawati, 2017)","plainTextFormattedCitation":"(Collins, Hafidz, &amp; Mustikawati, 2017)","previouslyFormattedCitation":"(Collins, Hafidz, &amp; Mustikawati, 2017)"},"properties":{"noteIndex":0},"schema":"https://github.com/citation-style-language/schema/raw/master/csl-citation.json"}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(Collins, Hafidz, &amp; Mustikawati, 2017)</w:t>
      </w:r>
      <w:r w:rsidRPr="00464420">
        <w:rPr>
          <w:rFonts w:ascii="Verdana" w:hAnsi="Verdana" w:cs="Arial"/>
          <w:sz w:val="19"/>
          <w:szCs w:val="19"/>
        </w:rPr>
        <w:fldChar w:fldCharType="end"/>
      </w:r>
      <w:r w:rsidRPr="00464420">
        <w:rPr>
          <w:rFonts w:ascii="Verdana" w:hAnsi="Verdana" w:cs="Arial"/>
          <w:sz w:val="19"/>
          <w:szCs w:val="19"/>
        </w:rPr>
        <w:t xml:space="preserve">. Tuberculosis also affect economic growth, corresponding to an annual loss of US$1.4 to 2.8 billion worldwide </w:t>
      </w:r>
      <w:r w:rsidRPr="00464420">
        <w:rPr>
          <w:rFonts w:ascii="Verdana" w:hAnsi="Verdana" w:cs="Arial"/>
          <w:sz w:val="19"/>
          <w:szCs w:val="19"/>
        </w:rPr>
        <w:fldChar w:fldCharType="begin" w:fldLock="1"/>
      </w:r>
      <w:r w:rsidR="00D10A8A">
        <w:rPr>
          <w:rFonts w:ascii="Verdana" w:hAnsi="Verdana" w:cs="Arial"/>
          <w:sz w:val="19"/>
          <w:szCs w:val="19"/>
        </w:rPr>
        <w:instrText>ADDIN CSL_CITATION {"citationItems":[{"id":"ITEM-1","itemData":{"DOI":"10.1111/j.1536-7150.1957.tb00182.x","ISSN":"15367150","author":[{"dropping-particle":"","family":"Grimard","given":"Franque","non-dropping-particle":"","parse-names":false,"suffix":""},{"dropping-particle":"","family":"Harling","given":"Guy","non-dropping-particle":"","parse-names":false,"suffix":""}],"id":"ITEM-1","issued":{"date-parts":[["2005"]]},"title":"The Impact of Tuberculosis on Economic Growth","type":"article-journal"},"uris":["http://www.mendeley.com/documents/?uuid=0686f4d5-6621-4022-9c43-822fffc34a16","http://www.mendeley.com/documents/?uuid=f116e4ab-e40d-406b-af14-d4f44df60b6e","http://www.mendeley.com/documents/?uuid=c23b18e8-2c4a-4270-b58c-104deaf04ab5","http://www.mendeley.com/documents/?uuid=3aedac05-2d5d-4fac-91a6-7db3cd7573c8"]}],"mendeley":{"formattedCitation":"(Grimard &amp; Harling, 2005)","plainTextFormattedCitation":"(Grimard &amp; Harling, 2005)","previouslyFormattedCitation":"(Grimard &amp; Harling, 2005)"},"properties":{"noteIndex":0},"schema":"https://github.com/citation-style-language/schema/raw/master/csl-citation.json"}</w:instrText>
      </w:r>
      <w:r w:rsidRPr="00464420">
        <w:rPr>
          <w:rFonts w:ascii="Verdana" w:hAnsi="Verdana" w:cs="Arial"/>
          <w:sz w:val="19"/>
          <w:szCs w:val="19"/>
        </w:rPr>
        <w:fldChar w:fldCharType="separate"/>
      </w:r>
      <w:r w:rsidRPr="00464420">
        <w:rPr>
          <w:rFonts w:ascii="Verdana" w:hAnsi="Verdana" w:cs="Arial"/>
          <w:noProof/>
          <w:sz w:val="19"/>
          <w:szCs w:val="19"/>
        </w:rPr>
        <w:t>(Grimard &amp; Harling, 2005)</w:t>
      </w:r>
      <w:r w:rsidRPr="00464420">
        <w:rPr>
          <w:rFonts w:ascii="Verdana" w:hAnsi="Verdana" w:cs="Arial"/>
          <w:sz w:val="19"/>
          <w:szCs w:val="19"/>
        </w:rPr>
        <w:fldChar w:fldCharType="end"/>
      </w:r>
      <w:r w:rsidRPr="00464420">
        <w:rPr>
          <w:rFonts w:ascii="Verdana" w:hAnsi="Verdana" w:cs="Arial"/>
          <w:sz w:val="19"/>
          <w:szCs w:val="19"/>
        </w:rPr>
        <w:t>.</w:t>
      </w:r>
    </w:p>
    <w:p w14:paraId="6D8F817C" w14:textId="77777777" w:rsidR="00793EA2" w:rsidRPr="00464420" w:rsidRDefault="00793EA2" w:rsidP="00793EA2">
      <w:pPr>
        <w:pStyle w:val="MIMBAR-Paragraf"/>
        <w:spacing w:beforeLines="80" w:before="192"/>
        <w:ind w:right="-14" w:firstLine="0"/>
        <w:jc w:val="left"/>
        <w:rPr>
          <w:b/>
        </w:rPr>
      </w:pPr>
      <w:r w:rsidRPr="00464420">
        <w:rPr>
          <w:b/>
        </w:rPr>
        <w:t>Conclusion</w:t>
      </w:r>
    </w:p>
    <w:p w14:paraId="356755DA" w14:textId="77777777" w:rsidR="003937FD" w:rsidRPr="00464420" w:rsidRDefault="003937FD" w:rsidP="003937FD">
      <w:pPr>
        <w:pStyle w:val="MIMBAR-Paragraf"/>
        <w:spacing w:beforeLines="80" w:before="192"/>
        <w:ind w:right="-14" w:firstLine="0"/>
      </w:pPr>
      <w:r w:rsidRPr="00464420">
        <w:t xml:space="preserve">Economic losses due to disease like </w:t>
      </w:r>
      <w:r w:rsidRPr="00464420">
        <w:rPr>
          <w:rFonts w:cs="Arial"/>
        </w:rPr>
        <w:t>dengue fever, diarrhea, and tuberculosis</w:t>
      </w:r>
      <w:r w:rsidRPr="00464420">
        <w:t xml:space="preserve"> are very high. Therefore, the government must use various policies to overcome the problem of existing diseases in the community. This research shows that health spending is still not a significant effect in reducing </w:t>
      </w:r>
      <w:bookmarkStart w:id="0" w:name="_GoBack"/>
      <w:bookmarkEnd w:id="0"/>
      <w:r w:rsidRPr="00464420">
        <w:t xml:space="preserve">the number of </w:t>
      </w:r>
      <w:r w:rsidR="001A49DD" w:rsidRPr="00464420">
        <w:rPr>
          <w:rFonts w:cs="Arial"/>
        </w:rPr>
        <w:t xml:space="preserve">dengue fever, diarrhea, and tuberculosis in </w:t>
      </w:r>
      <w:r w:rsidR="001A49DD" w:rsidRPr="00464420">
        <w:rPr>
          <w:rFonts w:cs="Arial"/>
        </w:rPr>
        <w:lastRenderedPageBreak/>
        <w:t>Sumatera Island districts</w:t>
      </w:r>
      <w:r w:rsidRPr="00464420">
        <w:t xml:space="preserve">. This is due to inefficient use of the health budget </w:t>
      </w:r>
      <w:r w:rsidR="00605CC8" w:rsidRPr="00464420">
        <w:t>caused by</w:t>
      </w:r>
      <w:r w:rsidRPr="00464420">
        <w:t xml:space="preserve"> corruption, the quality of institutions, </w:t>
      </w:r>
      <w:r w:rsidR="00605CC8" w:rsidRPr="00464420">
        <w:t xml:space="preserve">and </w:t>
      </w:r>
      <w:r w:rsidRPr="00464420">
        <w:t xml:space="preserve">administrative spending that is too high. For this reason, the government needs to improve the efficiency of using the health budget. The government can increase the number of health services such as primary health care because it has a positive and significant effect in reducing the number of </w:t>
      </w:r>
      <w:r w:rsidR="001A49DD" w:rsidRPr="00464420">
        <w:rPr>
          <w:rFonts w:cs="Arial"/>
        </w:rPr>
        <w:t>dengue fever, diarrhea, and tuberculosis</w:t>
      </w:r>
      <w:r w:rsidR="001A49DD" w:rsidRPr="00464420">
        <w:t xml:space="preserve">. </w:t>
      </w:r>
      <w:r w:rsidRPr="00464420">
        <w:t xml:space="preserve">The study also found that population and population density actually increase </w:t>
      </w:r>
      <w:r w:rsidR="001A49DD" w:rsidRPr="00464420">
        <w:rPr>
          <w:rFonts w:cs="Arial"/>
        </w:rPr>
        <w:t>dengue fever, diarrhea, and tuberculosis</w:t>
      </w:r>
      <w:r w:rsidRPr="00464420">
        <w:t xml:space="preserve"> rates. The government must control birth rates to reduce population growth and encourage transmigration to reduce population density.</w:t>
      </w:r>
    </w:p>
    <w:p w14:paraId="585563EF" w14:textId="77777777" w:rsidR="00793EA2" w:rsidRPr="00464420" w:rsidRDefault="00793EA2" w:rsidP="00793EA2">
      <w:pPr>
        <w:pStyle w:val="MIMBAR-Paragraf"/>
        <w:spacing w:beforeLines="80" w:before="192"/>
        <w:ind w:right="-14" w:firstLine="0"/>
        <w:jc w:val="left"/>
        <w:rPr>
          <w:b/>
        </w:rPr>
      </w:pPr>
      <w:r w:rsidRPr="00464420">
        <w:rPr>
          <w:b/>
        </w:rPr>
        <w:t>References</w:t>
      </w:r>
    </w:p>
    <w:p w14:paraId="6CD0E3C5" w14:textId="66DBD10B" w:rsidR="00462930" w:rsidRPr="00E019C7" w:rsidRDefault="00695DC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sz w:val="19"/>
          <w:szCs w:val="19"/>
        </w:rPr>
        <w:fldChar w:fldCharType="begin" w:fldLock="1"/>
      </w:r>
      <w:r w:rsidRPr="00E019C7">
        <w:rPr>
          <w:rFonts w:ascii="Verdana" w:hAnsi="Verdana"/>
          <w:sz w:val="19"/>
          <w:szCs w:val="19"/>
        </w:rPr>
        <w:instrText xml:space="preserve">ADDIN Mendeley Bibliography CSL_BIBLIOGRAPHY </w:instrText>
      </w:r>
      <w:r w:rsidRPr="00E019C7">
        <w:rPr>
          <w:rFonts w:ascii="Verdana" w:hAnsi="Verdana"/>
          <w:sz w:val="19"/>
          <w:szCs w:val="19"/>
        </w:rPr>
        <w:fldChar w:fldCharType="separate"/>
      </w:r>
      <w:r w:rsidR="00462930" w:rsidRPr="00E019C7">
        <w:rPr>
          <w:rFonts w:ascii="Verdana" w:hAnsi="Verdana"/>
          <w:noProof/>
          <w:sz w:val="19"/>
          <w:szCs w:val="19"/>
        </w:rPr>
        <w:t xml:space="preserve">Ahlburg, D. A. (2000). </w:t>
      </w:r>
      <w:r w:rsidR="00462930" w:rsidRPr="00E019C7">
        <w:rPr>
          <w:rFonts w:ascii="Verdana" w:hAnsi="Verdana"/>
          <w:i/>
          <w:iCs/>
          <w:noProof/>
          <w:sz w:val="19"/>
          <w:szCs w:val="19"/>
        </w:rPr>
        <w:t>The Economic Impacts of Tuberculosis</w:t>
      </w:r>
      <w:r w:rsidR="00462930" w:rsidRPr="00E019C7">
        <w:rPr>
          <w:rFonts w:ascii="Verdana" w:hAnsi="Verdana"/>
          <w:noProof/>
          <w:sz w:val="19"/>
          <w:szCs w:val="19"/>
        </w:rPr>
        <w:t>.</w:t>
      </w:r>
    </w:p>
    <w:p w14:paraId="24BEEEFC"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Alma, Ö. G. (2011). Comparison of Robust Regression Methods in Linear Regression. </w:t>
      </w:r>
      <w:r w:rsidRPr="00E019C7">
        <w:rPr>
          <w:rFonts w:ascii="Verdana" w:hAnsi="Verdana"/>
          <w:i/>
          <w:iCs/>
          <w:noProof/>
          <w:sz w:val="19"/>
          <w:szCs w:val="19"/>
        </w:rPr>
        <w:t>Int. J. Contemp. Math. Sciences</w:t>
      </w:r>
      <w:r w:rsidRPr="00E019C7">
        <w:rPr>
          <w:rFonts w:ascii="Verdana" w:hAnsi="Verdana"/>
          <w:noProof/>
          <w:sz w:val="19"/>
          <w:szCs w:val="19"/>
        </w:rPr>
        <w:t xml:space="preserve">, </w:t>
      </w:r>
      <w:r w:rsidRPr="00E019C7">
        <w:rPr>
          <w:rFonts w:ascii="Verdana" w:hAnsi="Verdana"/>
          <w:i/>
          <w:iCs/>
          <w:noProof/>
          <w:sz w:val="19"/>
          <w:szCs w:val="19"/>
        </w:rPr>
        <w:t>6</w:t>
      </w:r>
      <w:r w:rsidRPr="00E019C7">
        <w:rPr>
          <w:rFonts w:ascii="Verdana" w:hAnsi="Verdana"/>
          <w:noProof/>
          <w:sz w:val="19"/>
          <w:szCs w:val="19"/>
        </w:rPr>
        <w:t>(9), 409–421.</w:t>
      </w:r>
    </w:p>
    <w:p w14:paraId="4BE2FB1C"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Badan Pusat Statistik. (2017). </w:t>
      </w:r>
      <w:r w:rsidRPr="00E019C7">
        <w:rPr>
          <w:rFonts w:ascii="Verdana" w:hAnsi="Verdana"/>
          <w:i/>
          <w:iCs/>
          <w:noProof/>
          <w:sz w:val="19"/>
          <w:szCs w:val="19"/>
        </w:rPr>
        <w:t>Statistik Indonesia</w:t>
      </w:r>
      <w:r w:rsidRPr="00E019C7">
        <w:rPr>
          <w:rFonts w:ascii="Verdana" w:hAnsi="Verdana"/>
          <w:noProof/>
          <w:sz w:val="19"/>
          <w:szCs w:val="19"/>
        </w:rPr>
        <w:t>.</w:t>
      </w:r>
    </w:p>
    <w:p w14:paraId="5DC83889"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Boadi, K. O., &amp; Kuitunen, M. (2002). Childhood diarrheal morbidity in the Accra Metropolitan Area, Ghana: Socio-economic, environmental and behavioral risk determinants, (January 2016). https://doi.org/10.12927/whp.2005.17646</w:t>
      </w:r>
    </w:p>
    <w:p w14:paraId="652DD807"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Carey Donald. E. (1971). Chikungunya and dengue: a case of mistaken identity? </w:t>
      </w:r>
      <w:r w:rsidRPr="00E019C7">
        <w:rPr>
          <w:rFonts w:ascii="Verdana" w:hAnsi="Verdana"/>
          <w:i/>
          <w:iCs/>
          <w:noProof/>
          <w:sz w:val="19"/>
          <w:szCs w:val="19"/>
        </w:rPr>
        <w:t>Journal of the History of Medicine and Allied Sciences</w:t>
      </w:r>
      <w:r w:rsidRPr="00E019C7">
        <w:rPr>
          <w:rFonts w:ascii="Verdana" w:hAnsi="Verdana"/>
          <w:noProof/>
          <w:sz w:val="19"/>
          <w:szCs w:val="19"/>
        </w:rPr>
        <w:t xml:space="preserve">, </w:t>
      </w:r>
      <w:r w:rsidRPr="00E019C7">
        <w:rPr>
          <w:rFonts w:ascii="Verdana" w:hAnsi="Verdana"/>
          <w:i/>
          <w:iCs/>
          <w:noProof/>
          <w:sz w:val="19"/>
          <w:szCs w:val="19"/>
        </w:rPr>
        <w:t>26</w:t>
      </w:r>
      <w:r w:rsidRPr="00E019C7">
        <w:rPr>
          <w:rFonts w:ascii="Verdana" w:hAnsi="Verdana"/>
          <w:noProof/>
          <w:sz w:val="19"/>
          <w:szCs w:val="19"/>
        </w:rPr>
        <w:t>(3), 243 – 262.</w:t>
      </w:r>
    </w:p>
    <w:p w14:paraId="2AC572D7"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Castro-leal, F., Castro-leal, F., Dayton, J., Dayton, J., Demery, L., Demery, L., … Mehra, K. (2000). Public spending on health care in Africa: do the poor benefit? </w:t>
      </w:r>
      <w:r w:rsidRPr="00E019C7">
        <w:rPr>
          <w:rFonts w:ascii="Verdana" w:hAnsi="Verdana"/>
          <w:i/>
          <w:iCs/>
          <w:noProof/>
          <w:sz w:val="19"/>
          <w:szCs w:val="19"/>
        </w:rPr>
        <w:t>Bulletin of the World Health Organization</w:t>
      </w:r>
      <w:r w:rsidRPr="00E019C7">
        <w:rPr>
          <w:rFonts w:ascii="Verdana" w:hAnsi="Verdana"/>
          <w:noProof/>
          <w:sz w:val="19"/>
          <w:szCs w:val="19"/>
        </w:rPr>
        <w:t>, (0201), 9.</w:t>
      </w:r>
    </w:p>
    <w:p w14:paraId="73D363F7"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Chen, K. T., Fan, S. F., Tang, R. Bin, Huang, Y. F., Lee, P. I., Chen, P. Y., … Chen, H. C. (2007). Hospital-based study of the economic burden associated with rotavirus diarrhea in Taiwan. </w:t>
      </w:r>
      <w:r w:rsidRPr="00E019C7">
        <w:rPr>
          <w:rFonts w:ascii="Verdana" w:hAnsi="Verdana"/>
          <w:i/>
          <w:iCs/>
          <w:noProof/>
          <w:sz w:val="19"/>
          <w:szCs w:val="19"/>
        </w:rPr>
        <w:t>Vaccine</w:t>
      </w:r>
      <w:r w:rsidRPr="00E019C7">
        <w:rPr>
          <w:rFonts w:ascii="Verdana" w:hAnsi="Verdana"/>
          <w:noProof/>
          <w:sz w:val="19"/>
          <w:szCs w:val="19"/>
        </w:rPr>
        <w:t xml:space="preserve">, </w:t>
      </w:r>
      <w:r w:rsidRPr="00E019C7">
        <w:rPr>
          <w:rFonts w:ascii="Verdana" w:hAnsi="Verdana"/>
          <w:i/>
          <w:iCs/>
          <w:noProof/>
          <w:sz w:val="19"/>
          <w:szCs w:val="19"/>
        </w:rPr>
        <w:t>25</w:t>
      </w:r>
      <w:r w:rsidRPr="00E019C7">
        <w:rPr>
          <w:rFonts w:ascii="Verdana" w:hAnsi="Verdana"/>
          <w:noProof/>
          <w:sz w:val="19"/>
          <w:szCs w:val="19"/>
        </w:rPr>
        <w:t>(21), 4266–4272. https://doi.org/10.1016/j.vaccine.2007.02.056</w:t>
      </w:r>
    </w:p>
    <w:p w14:paraId="0FAEEDF9"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lastRenderedPageBreak/>
        <w:t xml:space="preserve">Clark, M., Riben, P., &amp; Nowgesic, E. (2002). The association of housing density, isolation and tuberculosis in Canadian First Nations communities. </w:t>
      </w:r>
      <w:r w:rsidRPr="00E019C7">
        <w:rPr>
          <w:rFonts w:ascii="Verdana" w:hAnsi="Verdana"/>
          <w:i/>
          <w:iCs/>
          <w:noProof/>
          <w:sz w:val="19"/>
          <w:szCs w:val="19"/>
        </w:rPr>
        <w:t>International Journal of Epidemiology</w:t>
      </w:r>
      <w:r w:rsidRPr="00E019C7">
        <w:rPr>
          <w:rFonts w:ascii="Verdana" w:hAnsi="Verdana"/>
          <w:noProof/>
          <w:sz w:val="19"/>
          <w:szCs w:val="19"/>
        </w:rPr>
        <w:t xml:space="preserve">, </w:t>
      </w:r>
      <w:r w:rsidRPr="00E019C7">
        <w:rPr>
          <w:rFonts w:ascii="Verdana" w:hAnsi="Verdana"/>
          <w:i/>
          <w:iCs/>
          <w:noProof/>
          <w:sz w:val="19"/>
          <w:szCs w:val="19"/>
        </w:rPr>
        <w:t>31</w:t>
      </w:r>
      <w:r w:rsidRPr="00E019C7">
        <w:rPr>
          <w:rFonts w:ascii="Verdana" w:hAnsi="Verdana"/>
          <w:noProof/>
          <w:sz w:val="19"/>
          <w:szCs w:val="19"/>
        </w:rPr>
        <w:t>(5), 940–945. https://doi.org/10.1093/ije/31.5.940</w:t>
      </w:r>
    </w:p>
    <w:p w14:paraId="44EC2ADF"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Clark, D. V., Mammen, M. P., Nisalak, A., Puthimethee, V., &amp; Endy, T. P. (2005). Economic impact of dengue fever/dengue hemorrhagic fever in Thailand at the family and population levels. </w:t>
      </w:r>
      <w:r w:rsidRPr="00E019C7">
        <w:rPr>
          <w:rFonts w:ascii="Verdana" w:hAnsi="Verdana"/>
          <w:i/>
          <w:iCs/>
          <w:noProof/>
          <w:sz w:val="19"/>
          <w:szCs w:val="19"/>
        </w:rPr>
        <w:t>American Journal of Tropical Medicine and Hygiene</w:t>
      </w:r>
      <w:r w:rsidRPr="00E019C7">
        <w:rPr>
          <w:rFonts w:ascii="Verdana" w:hAnsi="Verdana"/>
          <w:noProof/>
          <w:sz w:val="19"/>
          <w:szCs w:val="19"/>
        </w:rPr>
        <w:t xml:space="preserve">, </w:t>
      </w:r>
      <w:r w:rsidRPr="00E019C7">
        <w:rPr>
          <w:rFonts w:ascii="Verdana" w:hAnsi="Verdana"/>
          <w:i/>
          <w:iCs/>
          <w:noProof/>
          <w:sz w:val="19"/>
          <w:szCs w:val="19"/>
        </w:rPr>
        <w:t>72</w:t>
      </w:r>
      <w:r w:rsidRPr="00E019C7">
        <w:rPr>
          <w:rFonts w:ascii="Verdana" w:hAnsi="Verdana"/>
          <w:noProof/>
          <w:sz w:val="19"/>
          <w:szCs w:val="19"/>
        </w:rPr>
        <w:t>(6), 786–791. https://doi.org/10.4269/ajtmh.2005.72.786</w:t>
      </w:r>
    </w:p>
    <w:p w14:paraId="3335767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Collins, D., Hafidz, F., &amp; Mustikawati, D. (2017). The economic burden of tuberculosis in Indonesia. </w:t>
      </w:r>
      <w:r w:rsidRPr="00E019C7">
        <w:rPr>
          <w:rFonts w:ascii="Verdana" w:hAnsi="Verdana"/>
          <w:i/>
          <w:iCs/>
          <w:noProof/>
          <w:sz w:val="19"/>
          <w:szCs w:val="19"/>
        </w:rPr>
        <w:t>International Journal of Tuberculosis and Lung Disease</w:t>
      </w:r>
      <w:r w:rsidRPr="00E019C7">
        <w:rPr>
          <w:rFonts w:ascii="Verdana" w:hAnsi="Verdana"/>
          <w:noProof/>
          <w:sz w:val="19"/>
          <w:szCs w:val="19"/>
        </w:rPr>
        <w:t xml:space="preserve">, </w:t>
      </w:r>
      <w:r w:rsidRPr="00E019C7">
        <w:rPr>
          <w:rFonts w:ascii="Verdana" w:hAnsi="Verdana"/>
          <w:i/>
          <w:iCs/>
          <w:noProof/>
          <w:sz w:val="19"/>
          <w:szCs w:val="19"/>
        </w:rPr>
        <w:t>21</w:t>
      </w:r>
      <w:r w:rsidRPr="00E019C7">
        <w:rPr>
          <w:rFonts w:ascii="Verdana" w:hAnsi="Verdana"/>
          <w:noProof/>
          <w:sz w:val="19"/>
          <w:szCs w:val="19"/>
        </w:rPr>
        <w:t>(9), 1041–1048. https://doi.org/10.5588/ijtld.16.0898</w:t>
      </w:r>
    </w:p>
    <w:p w14:paraId="250DA73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Diez-Roux, A. V., Javier Nieto, F., Muntaner, C., Tyroler, H. A., Comstock, G. W., Shahar, E., … Szklo, M. (2017). Neighborhood Environments and Coronary Heart Disease: A Multilevel Analysis. </w:t>
      </w:r>
      <w:r w:rsidRPr="00E019C7">
        <w:rPr>
          <w:rFonts w:ascii="Verdana" w:hAnsi="Verdana"/>
          <w:i/>
          <w:iCs/>
          <w:noProof/>
          <w:sz w:val="19"/>
          <w:szCs w:val="19"/>
        </w:rPr>
        <w:t>American Journal of Epidemiology</w:t>
      </w:r>
      <w:r w:rsidRPr="00E019C7">
        <w:rPr>
          <w:rFonts w:ascii="Verdana" w:hAnsi="Verdana"/>
          <w:noProof/>
          <w:sz w:val="19"/>
          <w:szCs w:val="19"/>
        </w:rPr>
        <w:t xml:space="preserve">, </w:t>
      </w:r>
      <w:r w:rsidRPr="00E019C7">
        <w:rPr>
          <w:rFonts w:ascii="Verdana" w:hAnsi="Verdana"/>
          <w:i/>
          <w:iCs/>
          <w:noProof/>
          <w:sz w:val="19"/>
          <w:szCs w:val="19"/>
        </w:rPr>
        <w:t>185</w:t>
      </w:r>
      <w:r w:rsidRPr="00E019C7">
        <w:rPr>
          <w:rFonts w:ascii="Verdana" w:hAnsi="Verdana"/>
          <w:noProof/>
          <w:sz w:val="19"/>
          <w:szCs w:val="19"/>
        </w:rPr>
        <w:t>(11), 1187–1202. https://doi.org/10.1093/aje/kwx113</w:t>
      </w:r>
    </w:p>
    <w:p w14:paraId="17D3C9FC"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Faldy, R., Kaunang, W. P. J., &amp; Pandelaki, A. J. (2015). Pemetaan Kasus Demam Berdarah Dengue di Kabupaten Minahasa Utara. </w:t>
      </w:r>
      <w:r w:rsidRPr="00E019C7">
        <w:rPr>
          <w:rFonts w:ascii="Verdana" w:hAnsi="Verdana"/>
          <w:i/>
          <w:iCs/>
          <w:noProof/>
          <w:sz w:val="19"/>
          <w:szCs w:val="19"/>
        </w:rPr>
        <w:t>Jurnal Kedokteran Komunitas Dan Tropik</w:t>
      </w:r>
      <w:r w:rsidRPr="00E019C7">
        <w:rPr>
          <w:rFonts w:ascii="Verdana" w:hAnsi="Verdana"/>
          <w:noProof/>
          <w:sz w:val="19"/>
          <w:szCs w:val="19"/>
        </w:rPr>
        <w:t xml:space="preserve">, </w:t>
      </w:r>
      <w:r w:rsidRPr="00E019C7">
        <w:rPr>
          <w:rFonts w:ascii="Verdana" w:hAnsi="Verdana"/>
          <w:i/>
          <w:iCs/>
          <w:noProof/>
          <w:sz w:val="19"/>
          <w:szCs w:val="19"/>
        </w:rPr>
        <w:t>3</w:t>
      </w:r>
      <w:r w:rsidRPr="00E019C7">
        <w:rPr>
          <w:rFonts w:ascii="Verdana" w:hAnsi="Verdana"/>
          <w:noProof/>
          <w:sz w:val="19"/>
          <w:szCs w:val="19"/>
        </w:rPr>
        <w:t>(2), 73–81.</w:t>
      </w:r>
    </w:p>
    <w:p w14:paraId="32F89174"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Garber, A. M., &amp; Skinner, J. (2008). Is American health care uniquely inefficient? In </w:t>
      </w:r>
      <w:r w:rsidRPr="00E019C7">
        <w:rPr>
          <w:rFonts w:ascii="Verdana" w:hAnsi="Verdana"/>
          <w:i/>
          <w:iCs/>
          <w:noProof/>
          <w:sz w:val="19"/>
          <w:szCs w:val="19"/>
        </w:rPr>
        <w:t>Journal of Economic Perspectives</w:t>
      </w:r>
      <w:r w:rsidRPr="00E019C7">
        <w:rPr>
          <w:rFonts w:ascii="Verdana" w:hAnsi="Verdana"/>
          <w:noProof/>
          <w:sz w:val="19"/>
          <w:szCs w:val="19"/>
        </w:rPr>
        <w:t>. https://doi.org/10.1257/jep.22.4.27</w:t>
      </w:r>
    </w:p>
    <w:p w14:paraId="04F0DEDE"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Göpffarth, D., &amp; Henke, K. D. (2013). The German Central Health Fund-Recent developments in health care financing in Germany. </w:t>
      </w:r>
      <w:r w:rsidRPr="00E019C7">
        <w:rPr>
          <w:rFonts w:ascii="Verdana" w:hAnsi="Verdana"/>
          <w:i/>
          <w:iCs/>
          <w:noProof/>
          <w:sz w:val="19"/>
          <w:szCs w:val="19"/>
        </w:rPr>
        <w:t>Health Policy</w:t>
      </w:r>
      <w:r w:rsidRPr="00E019C7">
        <w:rPr>
          <w:rFonts w:ascii="Verdana" w:hAnsi="Verdana"/>
          <w:noProof/>
          <w:sz w:val="19"/>
          <w:szCs w:val="19"/>
        </w:rPr>
        <w:t xml:space="preserve">, </w:t>
      </w:r>
      <w:r w:rsidRPr="00E019C7">
        <w:rPr>
          <w:rFonts w:ascii="Verdana" w:hAnsi="Verdana"/>
          <w:i/>
          <w:iCs/>
          <w:noProof/>
          <w:sz w:val="19"/>
          <w:szCs w:val="19"/>
        </w:rPr>
        <w:t>109</w:t>
      </w:r>
      <w:r w:rsidRPr="00E019C7">
        <w:rPr>
          <w:rFonts w:ascii="Verdana" w:hAnsi="Verdana"/>
          <w:noProof/>
          <w:sz w:val="19"/>
          <w:szCs w:val="19"/>
        </w:rPr>
        <w:t>(3), 246–252. https://doi.org/10.1016/j.healthpol.2012.11.001</w:t>
      </w:r>
    </w:p>
    <w:p w14:paraId="27A2A85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Grimard, F., &amp; Harling, G. (2005). The Impact of Tuberculosis on Economic Growth. https://doi.org/10.1111/j.1536-7150.1957.tb00182.x</w:t>
      </w:r>
    </w:p>
    <w:p w14:paraId="261FF1B6"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Gubler, D. J., &amp; Clark, G. G. (1995). </w:t>
      </w:r>
      <w:r w:rsidRPr="00E019C7">
        <w:rPr>
          <w:rFonts w:ascii="Verdana" w:hAnsi="Verdana"/>
          <w:noProof/>
          <w:sz w:val="19"/>
          <w:szCs w:val="19"/>
        </w:rPr>
        <w:lastRenderedPageBreak/>
        <w:t xml:space="preserve">Dengue/dengue hemorrhagic fever: the emergence of a global health problem. </w:t>
      </w:r>
      <w:r w:rsidRPr="00E019C7">
        <w:rPr>
          <w:rFonts w:ascii="Verdana" w:hAnsi="Verdana"/>
          <w:i/>
          <w:iCs/>
          <w:noProof/>
          <w:sz w:val="19"/>
          <w:szCs w:val="19"/>
        </w:rPr>
        <w:t>Emerging Infectious Diseases</w:t>
      </w:r>
      <w:r w:rsidRPr="00E019C7">
        <w:rPr>
          <w:rFonts w:ascii="Verdana" w:hAnsi="Verdana"/>
          <w:noProof/>
          <w:sz w:val="19"/>
          <w:szCs w:val="19"/>
        </w:rPr>
        <w:t xml:space="preserve">, </w:t>
      </w:r>
      <w:r w:rsidRPr="00E019C7">
        <w:rPr>
          <w:rFonts w:ascii="Verdana" w:hAnsi="Verdana"/>
          <w:i/>
          <w:iCs/>
          <w:noProof/>
          <w:sz w:val="19"/>
          <w:szCs w:val="19"/>
        </w:rPr>
        <w:t>1</w:t>
      </w:r>
      <w:r w:rsidRPr="00E019C7">
        <w:rPr>
          <w:rFonts w:ascii="Verdana" w:hAnsi="Verdana"/>
          <w:noProof/>
          <w:sz w:val="19"/>
          <w:szCs w:val="19"/>
        </w:rPr>
        <w:t>(2), 55–57. https://doi.org/10.3201/eid0102.952004</w:t>
      </w:r>
    </w:p>
    <w:p w14:paraId="3288952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Gulber, D. J. (2002). Epidemic dengue/dengue hemorrhagic fever as a public health, social and economic problem in the 21st century. </w:t>
      </w:r>
      <w:r w:rsidRPr="00E019C7">
        <w:rPr>
          <w:rFonts w:ascii="Verdana" w:hAnsi="Verdana"/>
          <w:i/>
          <w:iCs/>
          <w:noProof/>
          <w:sz w:val="19"/>
          <w:szCs w:val="19"/>
        </w:rPr>
        <w:t>Trends in Microbiology</w:t>
      </w:r>
      <w:r w:rsidRPr="00E019C7">
        <w:rPr>
          <w:rFonts w:ascii="Verdana" w:hAnsi="Verdana"/>
          <w:noProof/>
          <w:sz w:val="19"/>
          <w:szCs w:val="19"/>
        </w:rPr>
        <w:t xml:space="preserve">, </w:t>
      </w:r>
      <w:r w:rsidRPr="00E019C7">
        <w:rPr>
          <w:rFonts w:ascii="Verdana" w:hAnsi="Verdana"/>
          <w:i/>
          <w:iCs/>
          <w:noProof/>
          <w:sz w:val="19"/>
          <w:szCs w:val="19"/>
        </w:rPr>
        <w:t>10</w:t>
      </w:r>
      <w:r w:rsidRPr="00E019C7">
        <w:rPr>
          <w:rFonts w:ascii="Verdana" w:hAnsi="Verdana"/>
          <w:noProof/>
          <w:sz w:val="19"/>
          <w:szCs w:val="19"/>
        </w:rPr>
        <w:t>(2), 100–103.</w:t>
      </w:r>
    </w:p>
    <w:p w14:paraId="3CCDEDCD"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Halasa, Y. A., Shepard, D. S., &amp; Zeng, W. (2012). Economic cost of dengue in Puerto Rico. </w:t>
      </w:r>
      <w:r w:rsidRPr="00E019C7">
        <w:rPr>
          <w:rFonts w:ascii="Verdana" w:hAnsi="Verdana"/>
          <w:i/>
          <w:iCs/>
          <w:noProof/>
          <w:sz w:val="19"/>
          <w:szCs w:val="19"/>
        </w:rPr>
        <w:t>American Journal of Tropical Medicine and Hygiene</w:t>
      </w:r>
      <w:r w:rsidRPr="00E019C7">
        <w:rPr>
          <w:rFonts w:ascii="Verdana" w:hAnsi="Verdana"/>
          <w:noProof/>
          <w:sz w:val="19"/>
          <w:szCs w:val="19"/>
        </w:rPr>
        <w:t xml:space="preserve">, </w:t>
      </w:r>
      <w:r w:rsidRPr="00E019C7">
        <w:rPr>
          <w:rFonts w:ascii="Verdana" w:hAnsi="Verdana"/>
          <w:i/>
          <w:iCs/>
          <w:noProof/>
          <w:sz w:val="19"/>
          <w:szCs w:val="19"/>
        </w:rPr>
        <w:t>86</w:t>
      </w:r>
      <w:r w:rsidRPr="00E019C7">
        <w:rPr>
          <w:rFonts w:ascii="Verdana" w:hAnsi="Verdana"/>
          <w:noProof/>
          <w:sz w:val="19"/>
          <w:szCs w:val="19"/>
        </w:rPr>
        <w:t>(5), 745–752. https://doi.org/10.4269/ajtmh.2012.11-0784</w:t>
      </w:r>
    </w:p>
    <w:p w14:paraId="4328B102"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Hodges, K., &amp; Gill, R. (2010). Infectious diarrhea: Cellular and molecular mechanisms. </w:t>
      </w:r>
      <w:r w:rsidRPr="00E019C7">
        <w:rPr>
          <w:rFonts w:ascii="Verdana" w:hAnsi="Verdana"/>
          <w:i/>
          <w:iCs/>
          <w:noProof/>
          <w:sz w:val="19"/>
          <w:szCs w:val="19"/>
        </w:rPr>
        <w:t>Gut Microbes</w:t>
      </w:r>
      <w:r w:rsidRPr="00E019C7">
        <w:rPr>
          <w:rFonts w:ascii="Verdana" w:hAnsi="Verdana"/>
          <w:noProof/>
          <w:sz w:val="19"/>
          <w:szCs w:val="19"/>
        </w:rPr>
        <w:t xml:space="preserve">, </w:t>
      </w:r>
      <w:r w:rsidRPr="00E019C7">
        <w:rPr>
          <w:rFonts w:ascii="Verdana" w:hAnsi="Verdana"/>
          <w:i/>
          <w:iCs/>
          <w:noProof/>
          <w:sz w:val="19"/>
          <w:szCs w:val="19"/>
        </w:rPr>
        <w:t>1</w:t>
      </w:r>
      <w:r w:rsidRPr="00E019C7">
        <w:rPr>
          <w:rFonts w:ascii="Verdana" w:hAnsi="Verdana"/>
          <w:noProof/>
          <w:sz w:val="19"/>
          <w:szCs w:val="19"/>
        </w:rPr>
        <w:t>(1), 4–21. https://doi.org/10.4161/gmic.1.1.11036</w:t>
      </w:r>
    </w:p>
    <w:p w14:paraId="0B1B63E9"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Houben, R. M. G. J., &amp; Dodd, P. J. (2016). The Global Burden of Latent Tuberculosis Infection: A Re-estimation Using Mathematical Modelling. </w:t>
      </w:r>
      <w:r w:rsidRPr="00E019C7">
        <w:rPr>
          <w:rFonts w:ascii="Verdana" w:hAnsi="Verdana"/>
          <w:i/>
          <w:iCs/>
          <w:noProof/>
          <w:sz w:val="19"/>
          <w:szCs w:val="19"/>
        </w:rPr>
        <w:t>PLoS Medicine</w:t>
      </w:r>
      <w:r w:rsidRPr="00E019C7">
        <w:rPr>
          <w:rFonts w:ascii="Verdana" w:hAnsi="Verdana"/>
          <w:noProof/>
          <w:sz w:val="19"/>
          <w:szCs w:val="19"/>
        </w:rPr>
        <w:t xml:space="preserve">, </w:t>
      </w:r>
      <w:r w:rsidRPr="00E019C7">
        <w:rPr>
          <w:rFonts w:ascii="Verdana" w:hAnsi="Verdana"/>
          <w:i/>
          <w:iCs/>
          <w:noProof/>
          <w:sz w:val="19"/>
          <w:szCs w:val="19"/>
        </w:rPr>
        <w:t>13</w:t>
      </w:r>
      <w:r w:rsidRPr="00E019C7">
        <w:rPr>
          <w:rFonts w:ascii="Verdana" w:hAnsi="Verdana"/>
          <w:noProof/>
          <w:sz w:val="19"/>
          <w:szCs w:val="19"/>
        </w:rPr>
        <w:t>(10), 1–13. https://doi.org/10.1371/journal.pmed.1002152</w:t>
      </w:r>
    </w:p>
    <w:p w14:paraId="34D48E6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Jamison, D. T., Breman, J. G., Measham, A. R., Alleyne, G., &amp; Claeson, M. (2006). </w:t>
      </w:r>
      <w:r w:rsidRPr="00E019C7">
        <w:rPr>
          <w:rFonts w:ascii="Verdana" w:hAnsi="Verdana"/>
          <w:i/>
          <w:iCs/>
          <w:noProof/>
          <w:sz w:val="19"/>
          <w:szCs w:val="19"/>
        </w:rPr>
        <w:t>Disease Control Priorities in Developing Countries</w:t>
      </w:r>
      <w:r w:rsidRPr="00E019C7">
        <w:rPr>
          <w:rFonts w:ascii="Verdana" w:hAnsi="Verdana"/>
          <w:noProof/>
          <w:sz w:val="19"/>
          <w:szCs w:val="19"/>
        </w:rPr>
        <w:t xml:space="preserve">. </w:t>
      </w:r>
      <w:r w:rsidRPr="00E019C7">
        <w:rPr>
          <w:rFonts w:ascii="Verdana" w:hAnsi="Verdana"/>
          <w:i/>
          <w:iCs/>
          <w:noProof/>
          <w:sz w:val="19"/>
          <w:szCs w:val="19"/>
        </w:rPr>
        <w:t>Disease Control Priorities in Developing Countries (2nd Edition)</w:t>
      </w:r>
      <w:r w:rsidRPr="00E019C7">
        <w:rPr>
          <w:rFonts w:ascii="Verdana" w:hAnsi="Verdana"/>
          <w:noProof/>
          <w:sz w:val="19"/>
          <w:szCs w:val="19"/>
        </w:rPr>
        <w:t>. https://doi.org/10.1596/978-0-8213-6179- 5</w:t>
      </w:r>
    </w:p>
    <w:p w14:paraId="5966E392"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Jin, H., Wang, B., Fang, Z., Duan, Z., Gao, Q., Liu, N., … Wu, Q. (2011). Hospital-based study of the economic burden associated with rotavirus diarrhea in eastern China. </w:t>
      </w:r>
      <w:r w:rsidRPr="00E019C7">
        <w:rPr>
          <w:rFonts w:ascii="Verdana" w:hAnsi="Verdana"/>
          <w:i/>
          <w:iCs/>
          <w:noProof/>
          <w:sz w:val="19"/>
          <w:szCs w:val="19"/>
        </w:rPr>
        <w:t>Vaccine</w:t>
      </w:r>
      <w:r w:rsidRPr="00E019C7">
        <w:rPr>
          <w:rFonts w:ascii="Verdana" w:hAnsi="Verdana"/>
          <w:noProof/>
          <w:sz w:val="19"/>
          <w:szCs w:val="19"/>
        </w:rPr>
        <w:t xml:space="preserve">, </w:t>
      </w:r>
      <w:r w:rsidRPr="00E019C7">
        <w:rPr>
          <w:rFonts w:ascii="Verdana" w:hAnsi="Verdana"/>
          <w:i/>
          <w:iCs/>
          <w:noProof/>
          <w:sz w:val="19"/>
          <w:szCs w:val="19"/>
        </w:rPr>
        <w:t>29</w:t>
      </w:r>
      <w:r w:rsidRPr="00E019C7">
        <w:rPr>
          <w:rFonts w:ascii="Verdana" w:hAnsi="Verdana"/>
          <w:noProof/>
          <w:sz w:val="19"/>
          <w:szCs w:val="19"/>
        </w:rPr>
        <w:t>(44), 7801–7806. https://doi.org/10.1016/j.vaccine.2011.07.104</w:t>
      </w:r>
    </w:p>
    <w:p w14:paraId="5B354B0D"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Kamilla, L., Suhartono, &amp; W, N. E. (2012). Hubungan Praktek Personal Hygiene Ibu dan Kondisi Sanitasi Lingkungan Rumah dengan Kejadian Diare pada Balita di Puskesmas Kampung Dalam Kecamatan Pontianak Timur The Relationship of Maternal Personal Hygiene and Housing Environmental Sanitation to Pontia. </w:t>
      </w:r>
      <w:r w:rsidRPr="00E019C7">
        <w:rPr>
          <w:rFonts w:ascii="Verdana" w:hAnsi="Verdana"/>
          <w:i/>
          <w:iCs/>
          <w:noProof/>
          <w:sz w:val="19"/>
          <w:szCs w:val="19"/>
        </w:rPr>
        <w:t>Jurnal Kesehatan Lingkungan Indonesia</w:t>
      </w:r>
      <w:r w:rsidRPr="00E019C7">
        <w:rPr>
          <w:rFonts w:ascii="Verdana" w:hAnsi="Verdana"/>
          <w:noProof/>
          <w:sz w:val="19"/>
          <w:szCs w:val="19"/>
        </w:rPr>
        <w:t xml:space="preserve">, </w:t>
      </w:r>
      <w:r w:rsidRPr="00E019C7">
        <w:rPr>
          <w:rFonts w:ascii="Verdana" w:hAnsi="Verdana"/>
          <w:i/>
          <w:iCs/>
          <w:noProof/>
          <w:sz w:val="19"/>
          <w:szCs w:val="19"/>
        </w:rPr>
        <w:t>11</w:t>
      </w:r>
      <w:r w:rsidRPr="00E019C7">
        <w:rPr>
          <w:rFonts w:ascii="Verdana" w:hAnsi="Verdana"/>
          <w:noProof/>
          <w:sz w:val="19"/>
          <w:szCs w:val="19"/>
        </w:rPr>
        <w:t>(2).</w:t>
      </w:r>
    </w:p>
    <w:p w14:paraId="268D2AF5"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Kani, A., Herawati, D. M. D., &amp; Trisnantoro, L. </w:t>
      </w:r>
      <w:r w:rsidRPr="00E019C7">
        <w:rPr>
          <w:rFonts w:ascii="Verdana" w:hAnsi="Verdana"/>
          <w:noProof/>
          <w:sz w:val="19"/>
          <w:szCs w:val="19"/>
        </w:rPr>
        <w:lastRenderedPageBreak/>
        <w:t xml:space="preserve">(2012). Evaluasi Perencanaan dan Penganggaran Dinas Kesehatan Kabupaten Pesisir Selatan Provinsi Sumatera Barat. </w:t>
      </w:r>
      <w:r w:rsidRPr="00E019C7">
        <w:rPr>
          <w:rFonts w:ascii="Verdana" w:hAnsi="Verdana"/>
          <w:i/>
          <w:iCs/>
          <w:noProof/>
          <w:sz w:val="19"/>
          <w:szCs w:val="19"/>
        </w:rPr>
        <w:t>Jurnal Manajemen Pelayanan Kesehatan</w:t>
      </w:r>
      <w:r w:rsidRPr="00E019C7">
        <w:rPr>
          <w:rFonts w:ascii="Verdana" w:hAnsi="Verdana"/>
          <w:noProof/>
          <w:sz w:val="19"/>
          <w:szCs w:val="19"/>
        </w:rPr>
        <w:t xml:space="preserve">, </w:t>
      </w:r>
      <w:r w:rsidRPr="00E019C7">
        <w:rPr>
          <w:rFonts w:ascii="Verdana" w:hAnsi="Verdana"/>
          <w:i/>
          <w:iCs/>
          <w:noProof/>
          <w:sz w:val="19"/>
          <w:szCs w:val="19"/>
        </w:rPr>
        <w:t>15</w:t>
      </w:r>
      <w:r w:rsidRPr="00E019C7">
        <w:rPr>
          <w:rFonts w:ascii="Verdana" w:hAnsi="Verdana"/>
          <w:noProof/>
          <w:sz w:val="19"/>
          <w:szCs w:val="19"/>
        </w:rPr>
        <w:t>(03), 131–139.</w:t>
      </w:r>
    </w:p>
    <w:p w14:paraId="10B5CECD"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Ke, X., Saksena, P., &amp; Holly, A. (2011). The determinants of health expenditure: a country-level panel data analysis. </w:t>
      </w:r>
      <w:r w:rsidRPr="00E019C7">
        <w:rPr>
          <w:rFonts w:ascii="Verdana" w:hAnsi="Verdana"/>
          <w:i/>
          <w:iCs/>
          <w:noProof/>
          <w:sz w:val="19"/>
          <w:szCs w:val="19"/>
        </w:rPr>
        <w:t>Geneva: World Health Organization</w:t>
      </w:r>
      <w:r w:rsidRPr="00E019C7">
        <w:rPr>
          <w:rFonts w:ascii="Verdana" w:hAnsi="Verdana"/>
          <w:noProof/>
          <w:sz w:val="19"/>
          <w:szCs w:val="19"/>
        </w:rPr>
        <w:t xml:space="preserve">, </w:t>
      </w:r>
      <w:r w:rsidRPr="00E019C7">
        <w:rPr>
          <w:rFonts w:ascii="Verdana" w:hAnsi="Verdana"/>
          <w:i/>
          <w:iCs/>
          <w:noProof/>
          <w:sz w:val="19"/>
          <w:szCs w:val="19"/>
        </w:rPr>
        <w:t>26</w:t>
      </w:r>
      <w:r w:rsidRPr="00E019C7">
        <w:rPr>
          <w:rFonts w:ascii="Verdana" w:hAnsi="Verdana"/>
          <w:noProof/>
          <w:sz w:val="19"/>
          <w:szCs w:val="19"/>
        </w:rPr>
        <w:t>.</w:t>
      </w:r>
    </w:p>
    <w:p w14:paraId="29CB4120"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Kusuma, A. P., &amp; Sukendra, D. M. (2016). Analisis Spasial Kejadian Demam Berdarah Dengue Berdasarkan Kepadatan Penduduk. </w:t>
      </w:r>
      <w:r w:rsidRPr="00E019C7">
        <w:rPr>
          <w:rFonts w:ascii="Verdana" w:hAnsi="Verdana"/>
          <w:i/>
          <w:iCs/>
          <w:noProof/>
          <w:sz w:val="19"/>
          <w:szCs w:val="19"/>
        </w:rPr>
        <w:t>Unnes Journal of Public Health</w:t>
      </w:r>
      <w:r w:rsidRPr="00E019C7">
        <w:rPr>
          <w:rFonts w:ascii="Verdana" w:hAnsi="Verdana"/>
          <w:noProof/>
          <w:sz w:val="19"/>
          <w:szCs w:val="19"/>
        </w:rPr>
        <w:t xml:space="preserve">, </w:t>
      </w:r>
      <w:r w:rsidRPr="00E019C7">
        <w:rPr>
          <w:rFonts w:ascii="Verdana" w:hAnsi="Verdana"/>
          <w:i/>
          <w:iCs/>
          <w:noProof/>
          <w:sz w:val="19"/>
          <w:szCs w:val="19"/>
        </w:rPr>
        <w:t>5</w:t>
      </w:r>
      <w:r w:rsidRPr="00E019C7">
        <w:rPr>
          <w:rFonts w:ascii="Verdana" w:hAnsi="Verdana"/>
          <w:noProof/>
          <w:sz w:val="19"/>
          <w:szCs w:val="19"/>
        </w:rPr>
        <w:t>(1), 48. https://doi.org/10.15294/ujph.v5i1.9703</w:t>
      </w:r>
    </w:p>
    <w:p w14:paraId="758E3A5E"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Lim, M. L., &amp; Wallace, M. R. (2004). Infectious diarrhea in history. </w:t>
      </w:r>
      <w:r w:rsidRPr="00E019C7">
        <w:rPr>
          <w:rFonts w:ascii="Verdana" w:hAnsi="Verdana"/>
          <w:i/>
          <w:iCs/>
          <w:noProof/>
          <w:sz w:val="19"/>
          <w:szCs w:val="19"/>
        </w:rPr>
        <w:t>Infectious Disease Clinics of North America</w:t>
      </w:r>
      <w:r w:rsidRPr="00E019C7">
        <w:rPr>
          <w:rFonts w:ascii="Verdana" w:hAnsi="Verdana"/>
          <w:noProof/>
          <w:sz w:val="19"/>
          <w:szCs w:val="19"/>
        </w:rPr>
        <w:t xml:space="preserve">, </w:t>
      </w:r>
      <w:r w:rsidRPr="00E019C7">
        <w:rPr>
          <w:rFonts w:ascii="Verdana" w:hAnsi="Verdana"/>
          <w:i/>
          <w:iCs/>
          <w:noProof/>
          <w:sz w:val="19"/>
          <w:szCs w:val="19"/>
        </w:rPr>
        <w:t>18</w:t>
      </w:r>
      <w:r w:rsidRPr="00E019C7">
        <w:rPr>
          <w:rFonts w:ascii="Verdana" w:hAnsi="Verdana"/>
          <w:noProof/>
          <w:sz w:val="19"/>
          <w:szCs w:val="19"/>
        </w:rPr>
        <w:t>(2), 261–274. https://doi.org/10.1016/j.idc.2004.01.006</w:t>
      </w:r>
    </w:p>
    <w:p w14:paraId="6C622EDE"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Liu, W., Xia, Y., &amp; Hou, J. (2019). Health expenditure efficiency in rural China using the super-SBM model and the Malmquist productivity index. </w:t>
      </w:r>
      <w:r w:rsidRPr="00E019C7">
        <w:rPr>
          <w:rFonts w:ascii="Verdana" w:hAnsi="Verdana"/>
          <w:i/>
          <w:iCs/>
          <w:noProof/>
          <w:sz w:val="19"/>
          <w:szCs w:val="19"/>
        </w:rPr>
        <w:t>International Journal for Equity in Health</w:t>
      </w:r>
      <w:r w:rsidRPr="00E019C7">
        <w:rPr>
          <w:rFonts w:ascii="Verdana" w:hAnsi="Verdana"/>
          <w:noProof/>
          <w:sz w:val="19"/>
          <w:szCs w:val="19"/>
        </w:rPr>
        <w:t>. https://doi.org/10.1186/s12939-019-1003-5</w:t>
      </w:r>
    </w:p>
    <w:p w14:paraId="0DACEB1F"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Mahendradhata, Y., Trisnantoro, L., Listyadewi, S., Soewondo, P., Marthias, T., Harimurti, P., &amp; Prawira, J. (2017). The Republic of Indonesia health system review. </w:t>
      </w:r>
      <w:r w:rsidRPr="00E019C7">
        <w:rPr>
          <w:rFonts w:ascii="Verdana" w:hAnsi="Verdana"/>
          <w:i/>
          <w:iCs/>
          <w:noProof/>
          <w:sz w:val="19"/>
          <w:szCs w:val="19"/>
        </w:rPr>
        <w:t>Health Systems in Transition</w:t>
      </w:r>
      <w:r w:rsidRPr="00E019C7">
        <w:rPr>
          <w:rFonts w:ascii="Verdana" w:hAnsi="Verdana"/>
          <w:noProof/>
          <w:sz w:val="19"/>
          <w:szCs w:val="19"/>
        </w:rPr>
        <w:t xml:space="preserve">, </w:t>
      </w:r>
      <w:r w:rsidRPr="00E019C7">
        <w:rPr>
          <w:rFonts w:ascii="Verdana" w:hAnsi="Verdana"/>
          <w:i/>
          <w:iCs/>
          <w:noProof/>
          <w:sz w:val="19"/>
          <w:szCs w:val="19"/>
        </w:rPr>
        <w:t>7</w:t>
      </w:r>
      <w:r w:rsidRPr="00E019C7">
        <w:rPr>
          <w:rFonts w:ascii="Verdana" w:hAnsi="Verdana"/>
          <w:noProof/>
          <w:sz w:val="19"/>
          <w:szCs w:val="19"/>
        </w:rPr>
        <w:t>(1).</w:t>
      </w:r>
    </w:p>
    <w:p w14:paraId="3DC4AA1A"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Manton, K. G., Gu, X. L., &amp; Lamb, V. L. (2006). Change in chronic disability from 1982 to 2004/2005 as measured by long-term changes in function and health in the U.S. elderly population. </w:t>
      </w:r>
      <w:r w:rsidRPr="00E019C7">
        <w:rPr>
          <w:rFonts w:ascii="Verdana" w:hAnsi="Verdana"/>
          <w:i/>
          <w:iCs/>
          <w:noProof/>
          <w:sz w:val="19"/>
          <w:szCs w:val="19"/>
        </w:rPr>
        <w:t>Proceedings of the National Academy of Sciences of the United States of America</w:t>
      </w:r>
      <w:r w:rsidRPr="00E019C7">
        <w:rPr>
          <w:rFonts w:ascii="Verdana" w:hAnsi="Verdana"/>
          <w:noProof/>
          <w:sz w:val="19"/>
          <w:szCs w:val="19"/>
        </w:rPr>
        <w:t xml:space="preserve">, </w:t>
      </w:r>
      <w:r w:rsidRPr="00E019C7">
        <w:rPr>
          <w:rFonts w:ascii="Verdana" w:hAnsi="Verdana"/>
          <w:i/>
          <w:iCs/>
          <w:noProof/>
          <w:sz w:val="19"/>
          <w:szCs w:val="19"/>
        </w:rPr>
        <w:t>103</w:t>
      </w:r>
      <w:r w:rsidRPr="00E019C7">
        <w:rPr>
          <w:rFonts w:ascii="Verdana" w:hAnsi="Verdana"/>
          <w:noProof/>
          <w:sz w:val="19"/>
          <w:szCs w:val="19"/>
        </w:rPr>
        <w:t>(48), 18374–18379. https://doi.org/10.1073/pnas.0608483103</w:t>
      </w:r>
    </w:p>
    <w:p w14:paraId="3CBE76DF"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Martin, S., Rice, N., &amp; Smith, P. C. (2008). Does health care spending improve health outcomes? Evidence from English programme budgeting data. </w:t>
      </w:r>
      <w:r w:rsidRPr="00E019C7">
        <w:rPr>
          <w:rFonts w:ascii="Verdana" w:hAnsi="Verdana"/>
          <w:i/>
          <w:iCs/>
          <w:noProof/>
          <w:sz w:val="19"/>
          <w:szCs w:val="19"/>
        </w:rPr>
        <w:t>Journal of Health Economics</w:t>
      </w:r>
      <w:r w:rsidRPr="00E019C7">
        <w:rPr>
          <w:rFonts w:ascii="Verdana" w:hAnsi="Verdana"/>
          <w:noProof/>
          <w:sz w:val="19"/>
          <w:szCs w:val="19"/>
        </w:rPr>
        <w:t xml:space="preserve">, </w:t>
      </w:r>
      <w:r w:rsidRPr="00E019C7">
        <w:rPr>
          <w:rFonts w:ascii="Verdana" w:hAnsi="Verdana"/>
          <w:i/>
          <w:iCs/>
          <w:noProof/>
          <w:sz w:val="19"/>
          <w:szCs w:val="19"/>
        </w:rPr>
        <w:t>27</w:t>
      </w:r>
      <w:r w:rsidRPr="00E019C7">
        <w:rPr>
          <w:rFonts w:ascii="Verdana" w:hAnsi="Verdana"/>
          <w:noProof/>
          <w:sz w:val="19"/>
          <w:szCs w:val="19"/>
        </w:rPr>
        <w:t>(4), 826–842. https://doi.org/10.1016/j.jhealeco.2007.12.002</w:t>
      </w:r>
    </w:p>
    <w:p w14:paraId="71E3112A"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Menteri Kesehatan Republik Indonesia. </w:t>
      </w:r>
      <w:r w:rsidRPr="00E019C7">
        <w:rPr>
          <w:rFonts w:ascii="Verdana" w:hAnsi="Verdana"/>
          <w:noProof/>
          <w:sz w:val="19"/>
          <w:szCs w:val="19"/>
        </w:rPr>
        <w:lastRenderedPageBreak/>
        <w:t>Keputusan Menteri Kesehatan Republik Indonesia Nomor 128 Tahun 2004 (2004). https://doi.org/10.1016/0021-9924(94)90039-6</w:t>
      </w:r>
    </w:p>
    <w:p w14:paraId="2F167564"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Ministry of Health. (2017). </w:t>
      </w:r>
      <w:r w:rsidRPr="00E019C7">
        <w:rPr>
          <w:rFonts w:ascii="Verdana" w:hAnsi="Verdana"/>
          <w:i/>
          <w:iCs/>
          <w:noProof/>
          <w:sz w:val="19"/>
          <w:szCs w:val="19"/>
        </w:rPr>
        <w:t>Data dan Informasi Profil Kesehatan Indonesia</w:t>
      </w:r>
      <w:r w:rsidRPr="00E019C7">
        <w:rPr>
          <w:rFonts w:ascii="Verdana" w:hAnsi="Verdana"/>
          <w:noProof/>
          <w:sz w:val="19"/>
          <w:szCs w:val="19"/>
        </w:rPr>
        <w:t>. Jakarta.</w:t>
      </w:r>
    </w:p>
    <w:p w14:paraId="0BA23DD8"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Ministry of Health. (2019). </w:t>
      </w:r>
      <w:r w:rsidRPr="00E019C7">
        <w:rPr>
          <w:rFonts w:ascii="Verdana" w:hAnsi="Verdana"/>
          <w:i/>
          <w:iCs/>
          <w:noProof/>
          <w:sz w:val="19"/>
          <w:szCs w:val="19"/>
        </w:rPr>
        <w:t>Profil Kesehatan Indonesia 2018</w:t>
      </w:r>
      <w:r w:rsidRPr="00E019C7">
        <w:rPr>
          <w:rFonts w:ascii="Verdana" w:hAnsi="Verdana"/>
          <w:noProof/>
          <w:sz w:val="19"/>
          <w:szCs w:val="19"/>
        </w:rPr>
        <w:t>.</w:t>
      </w:r>
    </w:p>
    <w:p w14:paraId="6A2B4A0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Murdani, &amp; Suherlan, A. (2014). Analisis Efektivitas Dan Efisiensi Penyerapan Anggaran Pendidikan Dan Kesehatan Dalam Apbd Kabupaten Aceh Besar Pada Periode 2008-2012. </w:t>
      </w:r>
      <w:r w:rsidRPr="00E019C7">
        <w:rPr>
          <w:rFonts w:ascii="Verdana" w:hAnsi="Verdana"/>
          <w:i/>
          <w:iCs/>
          <w:noProof/>
          <w:sz w:val="19"/>
          <w:szCs w:val="19"/>
        </w:rPr>
        <w:t>Signifikan: Jurnal Ilmu Ekonomi</w:t>
      </w:r>
      <w:r w:rsidRPr="00E019C7">
        <w:rPr>
          <w:rFonts w:ascii="Verdana" w:hAnsi="Verdana"/>
          <w:noProof/>
          <w:sz w:val="19"/>
          <w:szCs w:val="19"/>
        </w:rPr>
        <w:t xml:space="preserve">, </w:t>
      </w:r>
      <w:r w:rsidRPr="00E019C7">
        <w:rPr>
          <w:rFonts w:ascii="Verdana" w:hAnsi="Verdana"/>
          <w:i/>
          <w:iCs/>
          <w:noProof/>
          <w:sz w:val="19"/>
          <w:szCs w:val="19"/>
        </w:rPr>
        <w:t>3</w:t>
      </w:r>
      <w:r w:rsidRPr="00E019C7">
        <w:rPr>
          <w:rFonts w:ascii="Verdana" w:hAnsi="Verdana"/>
          <w:noProof/>
          <w:sz w:val="19"/>
          <w:szCs w:val="19"/>
        </w:rPr>
        <w:t>(2), 127–148. https://doi.org/10.15408/sigf.v3i2.2057</w:t>
      </w:r>
    </w:p>
    <w:p w14:paraId="19C2ED98"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Novignon, J. (2015). On the efficiency of public health expenditure in Sub-Saharan Africa: Does corruption and quality of public institutions matter? </w:t>
      </w:r>
      <w:r w:rsidRPr="00E019C7">
        <w:rPr>
          <w:rFonts w:ascii="Verdana" w:hAnsi="Verdana"/>
          <w:i/>
          <w:iCs/>
          <w:noProof/>
          <w:sz w:val="19"/>
          <w:szCs w:val="19"/>
        </w:rPr>
        <w:t>Munich Personal RePEc Archive</w:t>
      </w:r>
      <w:r w:rsidRPr="00E019C7">
        <w:rPr>
          <w:rFonts w:ascii="Verdana" w:hAnsi="Verdana"/>
          <w:noProof/>
          <w:sz w:val="19"/>
          <w:szCs w:val="19"/>
        </w:rPr>
        <w:t>, (39195), 1–21. Retrieved from https://mpra.ub.uni-muenchen.de/39195/2/MPRA_paper_39195.pdf</w:t>
      </w:r>
    </w:p>
    <w:p w14:paraId="6621A2E7"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Or, Z., Wang, J., &amp; Jamison, D. (2005). International differences in the impact of doctors on health: A multilevel analysis of OECD countries. </w:t>
      </w:r>
      <w:r w:rsidRPr="00E019C7">
        <w:rPr>
          <w:rFonts w:ascii="Verdana" w:hAnsi="Verdana"/>
          <w:i/>
          <w:iCs/>
          <w:noProof/>
          <w:sz w:val="19"/>
          <w:szCs w:val="19"/>
        </w:rPr>
        <w:t>Journal of Health Economics</w:t>
      </w:r>
      <w:r w:rsidRPr="00E019C7">
        <w:rPr>
          <w:rFonts w:ascii="Verdana" w:hAnsi="Verdana"/>
          <w:noProof/>
          <w:sz w:val="19"/>
          <w:szCs w:val="19"/>
        </w:rPr>
        <w:t xml:space="preserve">, </w:t>
      </w:r>
      <w:r w:rsidRPr="00E019C7">
        <w:rPr>
          <w:rFonts w:ascii="Verdana" w:hAnsi="Verdana"/>
          <w:i/>
          <w:iCs/>
          <w:noProof/>
          <w:sz w:val="19"/>
          <w:szCs w:val="19"/>
        </w:rPr>
        <w:t>24</w:t>
      </w:r>
      <w:r w:rsidRPr="00E019C7">
        <w:rPr>
          <w:rFonts w:ascii="Verdana" w:hAnsi="Verdana"/>
          <w:noProof/>
          <w:sz w:val="19"/>
          <w:szCs w:val="19"/>
        </w:rPr>
        <w:t>(3), 531–560. https://doi.org/10.1016/j.jhealeco.2004.09.003</w:t>
      </w:r>
    </w:p>
    <w:p w14:paraId="33736B15"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Parashar, U. D., Gibson, C. J., Bresee, J. S., &amp; Glass, R. I. (2006). Rotavirus and severe childhood diarrhea. </w:t>
      </w:r>
      <w:r w:rsidRPr="00E019C7">
        <w:rPr>
          <w:rFonts w:ascii="Verdana" w:hAnsi="Verdana"/>
          <w:i/>
          <w:iCs/>
          <w:noProof/>
          <w:sz w:val="19"/>
          <w:szCs w:val="19"/>
        </w:rPr>
        <w:t>Emerging Infectious Diseases</w:t>
      </w:r>
      <w:r w:rsidRPr="00E019C7">
        <w:rPr>
          <w:rFonts w:ascii="Verdana" w:hAnsi="Verdana"/>
          <w:noProof/>
          <w:sz w:val="19"/>
          <w:szCs w:val="19"/>
        </w:rPr>
        <w:t xml:space="preserve">, </w:t>
      </w:r>
      <w:r w:rsidRPr="00E019C7">
        <w:rPr>
          <w:rFonts w:ascii="Verdana" w:hAnsi="Verdana"/>
          <w:i/>
          <w:iCs/>
          <w:noProof/>
          <w:sz w:val="19"/>
          <w:szCs w:val="19"/>
        </w:rPr>
        <w:t>12</w:t>
      </w:r>
      <w:r w:rsidRPr="00E019C7">
        <w:rPr>
          <w:rFonts w:ascii="Verdana" w:hAnsi="Verdana"/>
          <w:noProof/>
          <w:sz w:val="19"/>
          <w:szCs w:val="19"/>
        </w:rPr>
        <w:t>(2), 304–306. https://doi.org/10.3201/eid1202.050006</w:t>
      </w:r>
    </w:p>
    <w:p w14:paraId="6DDFE56F"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Peabody, J. W., Shimkhada, R., Tan, C., &amp; Luck, J. (2005). The burden of disease, economic costs and clinical consequences of tuberculosis in the Philippines. </w:t>
      </w:r>
      <w:r w:rsidRPr="00E019C7">
        <w:rPr>
          <w:rFonts w:ascii="Verdana" w:hAnsi="Verdana"/>
          <w:i/>
          <w:iCs/>
          <w:noProof/>
          <w:sz w:val="19"/>
          <w:szCs w:val="19"/>
        </w:rPr>
        <w:t>Health Policy and Planning</w:t>
      </w:r>
      <w:r w:rsidRPr="00E019C7">
        <w:rPr>
          <w:rFonts w:ascii="Verdana" w:hAnsi="Verdana"/>
          <w:noProof/>
          <w:sz w:val="19"/>
          <w:szCs w:val="19"/>
        </w:rPr>
        <w:t xml:space="preserve">, </w:t>
      </w:r>
      <w:r w:rsidRPr="00E019C7">
        <w:rPr>
          <w:rFonts w:ascii="Verdana" w:hAnsi="Verdana"/>
          <w:i/>
          <w:iCs/>
          <w:noProof/>
          <w:sz w:val="19"/>
          <w:szCs w:val="19"/>
        </w:rPr>
        <w:t>20</w:t>
      </w:r>
      <w:r w:rsidRPr="00E019C7">
        <w:rPr>
          <w:rFonts w:ascii="Verdana" w:hAnsi="Verdana"/>
          <w:noProof/>
          <w:sz w:val="19"/>
          <w:szCs w:val="19"/>
        </w:rPr>
        <w:t>(6), 347–353. https://doi.org/10.1093/heapol/czi041</w:t>
      </w:r>
    </w:p>
    <w:p w14:paraId="4171C73D"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Pratama, W., &amp; Wulandari, S. P. (2015). Pemetaan dan Pemodelan Jumlah Kasus Penyakit Tuberculosis ( TBC ) di Provinsi Jawa Barat dengan Pendekatan Geographically Weighted Negative Binomial Regression, </w:t>
      </w:r>
      <w:r w:rsidRPr="00E019C7">
        <w:rPr>
          <w:rFonts w:ascii="Verdana" w:hAnsi="Verdana"/>
          <w:i/>
          <w:iCs/>
          <w:noProof/>
          <w:sz w:val="19"/>
          <w:szCs w:val="19"/>
        </w:rPr>
        <w:t>4</w:t>
      </w:r>
      <w:r w:rsidRPr="00E019C7">
        <w:rPr>
          <w:rFonts w:ascii="Verdana" w:hAnsi="Verdana"/>
          <w:noProof/>
          <w:sz w:val="19"/>
          <w:szCs w:val="19"/>
        </w:rPr>
        <w:t>(1), 37–42.</w:t>
      </w:r>
    </w:p>
    <w:p w14:paraId="44F54900"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Ragil, D. W., &amp; Dyah, Y. P. (2017). Jurnal of Health Education HUBUNGAN ANTARA PENGETAHUAN DAN KEBIASAAN MENCUCI TANGAN PENGASUH DENGAN </w:t>
      </w:r>
      <w:r w:rsidRPr="00E019C7">
        <w:rPr>
          <w:rFonts w:ascii="Verdana" w:hAnsi="Verdana"/>
          <w:noProof/>
          <w:sz w:val="19"/>
          <w:szCs w:val="19"/>
        </w:rPr>
        <w:lastRenderedPageBreak/>
        <w:t xml:space="preserve">KEJADIAN DIARE PADA BALITA Info Artikel. </w:t>
      </w:r>
      <w:r w:rsidRPr="00E019C7">
        <w:rPr>
          <w:rFonts w:ascii="Verdana" w:hAnsi="Verdana"/>
          <w:i/>
          <w:iCs/>
          <w:noProof/>
          <w:sz w:val="19"/>
          <w:szCs w:val="19"/>
        </w:rPr>
        <w:t>Jhe</w:t>
      </w:r>
      <w:r w:rsidRPr="00E019C7">
        <w:rPr>
          <w:rFonts w:ascii="Verdana" w:hAnsi="Verdana"/>
          <w:noProof/>
          <w:sz w:val="19"/>
          <w:szCs w:val="19"/>
        </w:rPr>
        <w:t xml:space="preserve">, </w:t>
      </w:r>
      <w:r w:rsidRPr="00E019C7">
        <w:rPr>
          <w:rFonts w:ascii="Verdana" w:hAnsi="Verdana"/>
          <w:i/>
          <w:iCs/>
          <w:noProof/>
          <w:sz w:val="19"/>
          <w:szCs w:val="19"/>
        </w:rPr>
        <w:t>2</w:t>
      </w:r>
      <w:r w:rsidRPr="00E019C7">
        <w:rPr>
          <w:rFonts w:ascii="Verdana" w:hAnsi="Verdana"/>
          <w:noProof/>
          <w:sz w:val="19"/>
          <w:szCs w:val="19"/>
        </w:rPr>
        <w:t>(1), 39–46.</w:t>
      </w:r>
    </w:p>
    <w:p w14:paraId="10FE56AD"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Siregar, F. A. (2004). Epidemiologi Dan Pemberantasan Demam Berdarah Dengue Diindonesia Di Indonesia. </w:t>
      </w:r>
      <w:r w:rsidRPr="00E019C7">
        <w:rPr>
          <w:rFonts w:ascii="Verdana" w:hAnsi="Verdana"/>
          <w:i/>
          <w:iCs/>
          <w:noProof/>
          <w:sz w:val="19"/>
          <w:szCs w:val="19"/>
        </w:rPr>
        <w:t>USU Digital Library</w:t>
      </w:r>
      <w:r w:rsidRPr="00E019C7">
        <w:rPr>
          <w:rFonts w:ascii="Verdana" w:hAnsi="Verdana"/>
          <w:noProof/>
          <w:sz w:val="19"/>
          <w:szCs w:val="19"/>
        </w:rPr>
        <w:t>, 1–13.</w:t>
      </w:r>
    </w:p>
    <w:p w14:paraId="084FDDE1"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Tantular, Bertho, Ruslaela, E., Jaya, I. G. N. M., &amp; Zulhanif. (2018). PEMETAAN PENYAKIT DIARE DI KOTA BANDUNG DENGAN ANALISIS LOCAL MORAN ’ S. In </w:t>
      </w:r>
      <w:r w:rsidRPr="00E019C7">
        <w:rPr>
          <w:rFonts w:ascii="Verdana" w:hAnsi="Verdana"/>
          <w:i/>
          <w:iCs/>
          <w:noProof/>
          <w:sz w:val="19"/>
          <w:szCs w:val="19"/>
        </w:rPr>
        <w:t>Seminar Statistika FMIPA Unpad 2018 (SNS VII)</w:t>
      </w:r>
      <w:r w:rsidRPr="00E019C7">
        <w:rPr>
          <w:rFonts w:ascii="Verdana" w:hAnsi="Verdana"/>
          <w:noProof/>
          <w:sz w:val="19"/>
          <w:szCs w:val="19"/>
        </w:rPr>
        <w:t>.</w:t>
      </w:r>
    </w:p>
    <w:p w14:paraId="7AFFA899"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Tantular, Berto, Nurfauziyah, S., Jaya, I. G. N. M., &amp; Zulhanif. (2007). Pemodelan resiko relatif penyakit diare di kota bandung dengan regresi spasial.</w:t>
      </w:r>
    </w:p>
    <w:p w14:paraId="3CF3E7B3"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Thielman, N. M., &amp; Guerrant, R. L. (2004). Acute infectious diarrhea. </w:t>
      </w:r>
      <w:r w:rsidRPr="00E019C7">
        <w:rPr>
          <w:rFonts w:ascii="Verdana" w:hAnsi="Verdana"/>
          <w:i/>
          <w:iCs/>
          <w:noProof/>
          <w:sz w:val="19"/>
          <w:szCs w:val="19"/>
        </w:rPr>
        <w:t>The New England Journal of Medicine</w:t>
      </w:r>
      <w:r w:rsidRPr="00E019C7">
        <w:rPr>
          <w:rFonts w:ascii="Verdana" w:hAnsi="Verdana"/>
          <w:noProof/>
          <w:sz w:val="19"/>
          <w:szCs w:val="19"/>
        </w:rPr>
        <w:t xml:space="preserve">, </w:t>
      </w:r>
      <w:r w:rsidRPr="00E019C7">
        <w:rPr>
          <w:rFonts w:ascii="Verdana" w:hAnsi="Verdana"/>
          <w:i/>
          <w:iCs/>
          <w:noProof/>
          <w:sz w:val="19"/>
          <w:szCs w:val="19"/>
        </w:rPr>
        <w:t>350</w:t>
      </w:r>
      <w:r w:rsidRPr="00E019C7">
        <w:rPr>
          <w:rFonts w:ascii="Verdana" w:hAnsi="Verdana"/>
          <w:noProof/>
          <w:sz w:val="19"/>
          <w:szCs w:val="19"/>
        </w:rPr>
        <w:t>, 38–47. https://doi.org/10.1017/CBO9780511547454.016</w:t>
      </w:r>
    </w:p>
    <w:p w14:paraId="740C8A14"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WHO. (2020). Medical Doctor (per 10000 population).</w:t>
      </w:r>
    </w:p>
    <w:p w14:paraId="201A091E"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Winarno, K., Hasanbasri, M., Sunjaya, D. K., Kesehatan, D., Kalimantan, P., Studi, P., … Kesehatan, P. (2013). Evaluasi Kebijakan Pembangunan Puskesmas Pembantu di Propinsi Kalimantan Tengah. </w:t>
      </w:r>
      <w:r w:rsidRPr="00E019C7">
        <w:rPr>
          <w:rFonts w:ascii="Verdana" w:hAnsi="Verdana"/>
          <w:i/>
          <w:iCs/>
          <w:noProof/>
          <w:sz w:val="19"/>
          <w:szCs w:val="19"/>
        </w:rPr>
        <w:t>Jurnal Kebijakan Kesehatan Indonesia</w:t>
      </w:r>
      <w:r w:rsidRPr="00E019C7">
        <w:rPr>
          <w:rFonts w:ascii="Verdana" w:hAnsi="Verdana"/>
          <w:noProof/>
          <w:sz w:val="19"/>
          <w:szCs w:val="19"/>
        </w:rPr>
        <w:t xml:space="preserve">, </w:t>
      </w:r>
      <w:r w:rsidRPr="00E019C7">
        <w:rPr>
          <w:rFonts w:ascii="Verdana" w:hAnsi="Verdana"/>
          <w:i/>
          <w:iCs/>
          <w:noProof/>
          <w:sz w:val="19"/>
          <w:szCs w:val="19"/>
        </w:rPr>
        <w:t>02</w:t>
      </w:r>
      <w:r w:rsidRPr="00E019C7">
        <w:rPr>
          <w:rFonts w:ascii="Verdana" w:hAnsi="Verdana"/>
          <w:noProof/>
          <w:sz w:val="19"/>
          <w:szCs w:val="19"/>
        </w:rPr>
        <w:t>(02), 86–94.</w:t>
      </w:r>
    </w:p>
    <w:p w14:paraId="21DC944C" w14:textId="77777777" w:rsidR="00462930" w:rsidRPr="00E019C7" w:rsidRDefault="00462930" w:rsidP="00462930">
      <w:pPr>
        <w:widowControl w:val="0"/>
        <w:autoSpaceDE w:val="0"/>
        <w:autoSpaceDN w:val="0"/>
        <w:adjustRightInd w:val="0"/>
        <w:spacing w:before="200" w:after="0"/>
        <w:ind w:left="480" w:hanging="480"/>
        <w:rPr>
          <w:rFonts w:ascii="Verdana" w:hAnsi="Verdana"/>
          <w:noProof/>
          <w:sz w:val="19"/>
          <w:szCs w:val="19"/>
        </w:rPr>
      </w:pPr>
      <w:r w:rsidRPr="00E019C7">
        <w:rPr>
          <w:rFonts w:ascii="Verdana" w:hAnsi="Verdana"/>
          <w:noProof/>
          <w:sz w:val="19"/>
          <w:szCs w:val="19"/>
        </w:rPr>
        <w:t xml:space="preserve">Wooldridge. (2015). </w:t>
      </w:r>
      <w:r w:rsidRPr="00E019C7">
        <w:rPr>
          <w:rFonts w:ascii="Verdana" w:hAnsi="Verdana"/>
          <w:i/>
          <w:iCs/>
          <w:noProof/>
          <w:sz w:val="19"/>
          <w:szCs w:val="19"/>
        </w:rPr>
        <w:t>Introductory Econometrics</w:t>
      </w:r>
      <w:r w:rsidRPr="00E019C7">
        <w:rPr>
          <w:rFonts w:ascii="Verdana" w:hAnsi="Verdana"/>
          <w:noProof/>
          <w:sz w:val="19"/>
          <w:szCs w:val="19"/>
        </w:rPr>
        <w:t xml:space="preserve"> (Vol. 1). https://doi.org/10.1017/CBO9781107415324.004</w:t>
      </w:r>
    </w:p>
    <w:p w14:paraId="53D72AD8" w14:textId="4DBD0D4B" w:rsidR="00A4031F" w:rsidRPr="00E019C7" w:rsidRDefault="00695DC0" w:rsidP="00462930">
      <w:pPr>
        <w:widowControl w:val="0"/>
        <w:autoSpaceDE w:val="0"/>
        <w:autoSpaceDN w:val="0"/>
        <w:adjustRightInd w:val="0"/>
        <w:spacing w:before="200" w:after="0"/>
        <w:ind w:left="480" w:hanging="480"/>
        <w:rPr>
          <w:sz w:val="19"/>
          <w:szCs w:val="19"/>
        </w:rPr>
      </w:pPr>
      <w:r w:rsidRPr="00E019C7">
        <w:rPr>
          <w:rFonts w:ascii="Verdana" w:hAnsi="Verdana"/>
          <w:sz w:val="19"/>
          <w:szCs w:val="19"/>
        </w:rPr>
        <w:fldChar w:fldCharType="end"/>
      </w:r>
    </w:p>
    <w:p w14:paraId="00937957" w14:textId="77777777" w:rsidR="00A4031F" w:rsidRPr="007F2DD2" w:rsidRDefault="00A4031F" w:rsidP="001371AC">
      <w:pPr>
        <w:pStyle w:val="MIMBAR-Paragraf"/>
        <w:spacing w:beforeLines="80" w:before="192"/>
        <w:ind w:right="-14"/>
      </w:pPr>
    </w:p>
    <w:sectPr w:rsidR="00A4031F" w:rsidRPr="007F2DD2" w:rsidSect="002A0E22">
      <w:type w:val="continuous"/>
      <w:pgSz w:w="11907" w:h="16840" w:code="9"/>
      <w:pgMar w:top="1448" w:right="1296" w:bottom="1699" w:left="1296" w:header="864" w:footer="576" w:gutter="0"/>
      <w:cols w:num="2" w:space="387"/>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D00FF8" w15:done="0"/>
  <w15:commentEx w15:paraId="1A29E4F4" w15:done="0"/>
  <w15:commentEx w15:paraId="181A4ED4" w15:done="0"/>
  <w15:commentEx w15:paraId="70F6CAF4" w15:done="0"/>
  <w15:commentEx w15:paraId="4D4370BD" w15:done="0"/>
  <w15:commentEx w15:paraId="27A59F12" w15:done="0"/>
  <w15:commentEx w15:paraId="70754A67" w15:done="0"/>
  <w15:commentEx w15:paraId="39FAD03A" w15:done="0"/>
  <w15:commentEx w15:paraId="204DD4E4" w15:done="0"/>
  <w15:commentEx w15:paraId="333FF1F4" w15:done="0"/>
  <w15:commentEx w15:paraId="1CD5C044" w15:done="0"/>
  <w15:commentEx w15:paraId="7D408C9D" w15:done="0"/>
  <w15:commentEx w15:paraId="59CA81E2" w15:done="0"/>
  <w15:commentEx w15:paraId="3A2F87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AEAF" w16cex:dateUtc="2020-06-02T03:55:00Z"/>
  <w16cex:commentExtensible w16cex:durableId="22813D2E" w16cex:dateUtc="2020-06-02T14:03:00Z"/>
  <w16cex:commentExtensible w16cex:durableId="22813D70" w16cex:dateUtc="2020-06-02T14:04:00Z"/>
  <w16cex:commentExtensible w16cex:durableId="22813E7C" w16cex:dateUtc="2020-06-02T14:09:00Z"/>
  <w16cex:commentExtensible w16cex:durableId="2281412C" w16cex:dateUtc="2020-06-02T14:20:00Z"/>
  <w16cex:commentExtensible w16cex:durableId="22814339" w16cex:dateUtc="2020-06-02T14:29:00Z"/>
  <w16cex:commentExtensible w16cex:durableId="228141A5" w16cex:dateUtc="2020-06-02T14:22:00Z"/>
  <w16cex:commentExtensible w16cex:durableId="228142DC" w16cex:dateUtc="2020-06-02T14:27:00Z"/>
  <w16cex:commentExtensible w16cex:durableId="228146AD" w16cex:dateUtc="2020-06-02T14:44:00Z"/>
  <w16cex:commentExtensible w16cex:durableId="22814748" w16cex:dateUtc="2020-06-02T14:46:00Z"/>
  <w16cex:commentExtensible w16cex:durableId="2281480D" w16cex:dateUtc="2020-06-02T14:50:00Z"/>
  <w16cex:commentExtensible w16cex:durableId="22814780" w16cex:dateUtc="2020-06-02T14:47:00Z"/>
  <w16cex:commentExtensible w16cex:durableId="22814BAA" w16cex:dateUtc="2020-06-02T15:05:00Z"/>
  <w16cex:commentExtensible w16cex:durableId="22814BFE" w16cex:dateUtc="2020-06-02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D00FF8" w16cid:durableId="2280AEAF"/>
  <w16cid:commentId w16cid:paraId="1A29E4F4" w16cid:durableId="22813D2E"/>
  <w16cid:commentId w16cid:paraId="181A4ED4" w16cid:durableId="22813D70"/>
  <w16cid:commentId w16cid:paraId="70F6CAF4" w16cid:durableId="22813E7C"/>
  <w16cid:commentId w16cid:paraId="4D4370BD" w16cid:durableId="2281412C"/>
  <w16cid:commentId w16cid:paraId="27A59F12" w16cid:durableId="22814339"/>
  <w16cid:commentId w16cid:paraId="70754A67" w16cid:durableId="228141A5"/>
  <w16cid:commentId w16cid:paraId="39FAD03A" w16cid:durableId="228142DC"/>
  <w16cid:commentId w16cid:paraId="204DD4E4" w16cid:durableId="228146AD"/>
  <w16cid:commentId w16cid:paraId="333FF1F4" w16cid:durableId="22814748"/>
  <w16cid:commentId w16cid:paraId="1CD5C044" w16cid:durableId="2281480D"/>
  <w16cid:commentId w16cid:paraId="7D408C9D" w16cid:durableId="22814780"/>
  <w16cid:commentId w16cid:paraId="59CA81E2" w16cid:durableId="22814BAA"/>
  <w16cid:commentId w16cid:paraId="3A2F87E3" w16cid:durableId="22814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E53E" w14:textId="77777777" w:rsidR="002F383A" w:rsidRDefault="002F383A" w:rsidP="000E788B">
      <w:pPr>
        <w:spacing w:after="0"/>
      </w:pPr>
      <w:r>
        <w:separator/>
      </w:r>
    </w:p>
    <w:p w14:paraId="6C264A45" w14:textId="77777777" w:rsidR="002F383A" w:rsidRDefault="002F383A"/>
  </w:endnote>
  <w:endnote w:type="continuationSeparator" w:id="0">
    <w:p w14:paraId="4DA10413" w14:textId="77777777" w:rsidR="002F383A" w:rsidRDefault="002F383A" w:rsidP="000E788B">
      <w:pPr>
        <w:spacing w:after="0"/>
      </w:pPr>
      <w:r>
        <w:continuationSeparator/>
      </w:r>
    </w:p>
    <w:p w14:paraId="35263068" w14:textId="77777777" w:rsidR="002F383A" w:rsidRDefault="002F3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D63D" w14:textId="77777777" w:rsidR="00586DFD" w:rsidRPr="00297715" w:rsidRDefault="00586DFD" w:rsidP="00FF57F4">
    <w:pPr>
      <w:pStyle w:val="Footer"/>
      <w:tabs>
        <w:tab w:val="clear" w:pos="4680"/>
        <w:tab w:val="clear" w:pos="9360"/>
        <w:tab w:val="right" w:pos="9270"/>
      </w:tabs>
      <w:jc w:val="right"/>
      <w:rPr>
        <w:rFonts w:ascii="Calibri" w:hAnsi="Calibri"/>
        <w:sz w:val="22"/>
      </w:rPr>
    </w:pPr>
    <w:r w:rsidRPr="00FF57F4">
      <w:rPr>
        <w:rFonts w:ascii="Calibri" w:hAnsi="Calibri"/>
        <w:sz w:val="22"/>
      </w:rPr>
      <w:t>ISSN 0215-8175|EISSN 2303-2499</w:t>
    </w:r>
    <w:r>
      <w:rPr>
        <w:rFonts w:ascii="Calibri" w:hAnsi="Calibri"/>
        <w:sz w:val="22"/>
      </w:rPr>
      <w:tab/>
    </w:r>
    <w:r w:rsidRPr="00297715">
      <w:rPr>
        <w:rFonts w:ascii="Calibri" w:hAnsi="Calibri"/>
        <w:sz w:val="22"/>
      </w:rPr>
      <w:fldChar w:fldCharType="begin"/>
    </w:r>
    <w:r w:rsidRPr="00297715">
      <w:rPr>
        <w:rFonts w:ascii="Calibri" w:hAnsi="Calibri"/>
        <w:sz w:val="22"/>
      </w:rPr>
      <w:instrText xml:space="preserve"> PAGE   \* MERGEFORMAT </w:instrText>
    </w:r>
    <w:r w:rsidRPr="00297715">
      <w:rPr>
        <w:rFonts w:ascii="Calibri" w:hAnsi="Calibri"/>
        <w:sz w:val="22"/>
      </w:rPr>
      <w:fldChar w:fldCharType="separate"/>
    </w:r>
    <w:r w:rsidR="00E019C7">
      <w:rPr>
        <w:rFonts w:ascii="Calibri" w:hAnsi="Calibri"/>
        <w:noProof/>
        <w:sz w:val="22"/>
      </w:rPr>
      <w:t>4</w:t>
    </w:r>
    <w:r w:rsidRPr="00297715">
      <w:rPr>
        <w:rFonts w:ascii="Calibri" w:hAnsi="Calibri"/>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7F27" w14:textId="77777777" w:rsidR="00586DFD" w:rsidRPr="00297715" w:rsidRDefault="00586DFD" w:rsidP="00FF57F4">
    <w:pPr>
      <w:tabs>
        <w:tab w:val="left" w:pos="6210"/>
      </w:tabs>
      <w:spacing w:after="0" w:line="196" w:lineRule="exact"/>
      <w:ind w:left="20" w:right="-46"/>
      <w:rPr>
        <w:rFonts w:ascii="Tahoma" w:hAnsi="Tahoma" w:cs="Tahoma"/>
        <w:sz w:val="17"/>
        <w:szCs w:val="17"/>
      </w:rPr>
    </w:pPr>
    <w:r w:rsidRPr="00FF57F4">
      <w:rPr>
        <w:rFonts w:asciiTheme="minorHAnsi" w:hAnsiTheme="minorHAnsi"/>
        <w:sz w:val="22"/>
      </w:rPr>
      <w:fldChar w:fldCharType="begin"/>
    </w:r>
    <w:r w:rsidRPr="00FF57F4">
      <w:rPr>
        <w:rFonts w:asciiTheme="minorHAnsi" w:hAnsiTheme="minorHAnsi"/>
        <w:sz w:val="22"/>
      </w:rPr>
      <w:instrText xml:space="preserve"> PAGE   \* MERGEFORMAT </w:instrText>
    </w:r>
    <w:r w:rsidRPr="00FF57F4">
      <w:rPr>
        <w:rFonts w:asciiTheme="minorHAnsi" w:hAnsiTheme="minorHAnsi"/>
        <w:sz w:val="22"/>
      </w:rPr>
      <w:fldChar w:fldCharType="separate"/>
    </w:r>
    <w:r w:rsidR="00E019C7">
      <w:rPr>
        <w:rFonts w:asciiTheme="minorHAnsi" w:hAnsiTheme="minorHAnsi"/>
        <w:noProof/>
        <w:sz w:val="22"/>
      </w:rPr>
      <w:t>3</w:t>
    </w:r>
    <w:r w:rsidRPr="00FF57F4">
      <w:rPr>
        <w:rFonts w:asciiTheme="minorHAnsi" w:hAnsiTheme="minorHAnsi"/>
        <w:noProof/>
        <w:sz w:val="22"/>
      </w:rPr>
      <w:fldChar w:fldCharType="end"/>
    </w:r>
    <w:r>
      <w:rPr>
        <w:noProof/>
      </w:rPr>
      <w:tab/>
    </w:r>
    <w:r w:rsidRPr="00FF57F4">
      <w:rPr>
        <w:rFonts w:asciiTheme="minorHAnsi" w:hAnsiTheme="minorHAnsi"/>
        <w:noProof/>
        <w:sz w:val="22"/>
      </w:rPr>
      <w:t xml:space="preserve"> </w:t>
    </w:r>
    <w:r w:rsidRPr="00FF57F4">
      <w:rPr>
        <w:rFonts w:asciiTheme="minorHAnsi" w:hAnsiTheme="minorHAnsi" w:cs="Tahoma"/>
        <w:sz w:val="22"/>
      </w:rPr>
      <w:t>I</w:t>
    </w:r>
    <w:r w:rsidRPr="00FF57F4">
      <w:rPr>
        <w:rFonts w:asciiTheme="minorHAnsi" w:hAnsiTheme="minorHAnsi" w:cs="Tahoma"/>
        <w:spacing w:val="-2"/>
        <w:sz w:val="22"/>
      </w:rPr>
      <w:t>S</w:t>
    </w:r>
    <w:r w:rsidRPr="00FF57F4">
      <w:rPr>
        <w:rFonts w:asciiTheme="minorHAnsi" w:hAnsiTheme="minorHAnsi" w:cs="Tahoma"/>
        <w:sz w:val="22"/>
      </w:rPr>
      <w:t>SN 0215-8175|EI</w:t>
    </w:r>
    <w:r w:rsidRPr="00FF57F4">
      <w:rPr>
        <w:rFonts w:asciiTheme="minorHAnsi" w:hAnsiTheme="minorHAnsi" w:cs="Tahoma"/>
        <w:spacing w:val="-2"/>
        <w:sz w:val="22"/>
      </w:rPr>
      <w:t>S</w:t>
    </w:r>
    <w:r w:rsidRPr="00FF57F4">
      <w:rPr>
        <w:rFonts w:asciiTheme="minorHAnsi" w:hAnsiTheme="minorHAnsi" w:cs="Tahoma"/>
        <w:sz w:val="22"/>
      </w:rPr>
      <w:t>SN 2303-2499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AEEE" w14:textId="77777777" w:rsidR="00586DFD" w:rsidRDefault="00586DFD" w:rsidP="00297715">
    <w:pPr>
      <w:spacing w:before="39" w:after="0"/>
      <w:ind w:left="-360" w:right="-20"/>
      <w:rPr>
        <w:rFonts w:ascii="Times New Roman" w:hAnsi="Times New Roman"/>
        <w:b/>
        <w:bCs/>
        <w:sz w:val="16"/>
        <w:szCs w:val="16"/>
      </w:rPr>
    </w:pPr>
    <w:r>
      <w:rPr>
        <w:rFonts w:ascii="Times New Roman" w:hAnsi="Times New Roman"/>
        <w:b/>
        <w:bCs/>
        <w:sz w:val="16"/>
        <w:szCs w:val="16"/>
      </w:rPr>
      <w:t>__________________________</w:t>
    </w:r>
  </w:p>
  <w:p w14:paraId="4C5D88B2" w14:textId="77777777" w:rsidR="00586DFD" w:rsidRDefault="00586DFD" w:rsidP="00297715">
    <w:pPr>
      <w:spacing w:before="39" w:after="0"/>
      <w:ind w:left="-360" w:right="-20"/>
      <w:rPr>
        <w:rFonts w:ascii="Times New Roman" w:hAnsi="Times New Roman"/>
        <w:sz w:val="16"/>
        <w:szCs w:val="16"/>
      </w:rPr>
    </w:pPr>
    <w:r>
      <w:rPr>
        <w:rFonts w:ascii="Times New Roman" w:hAnsi="Times New Roman"/>
        <w:b/>
        <w:bCs/>
        <w:sz w:val="16"/>
        <w:szCs w:val="16"/>
      </w:rPr>
      <w:t xml:space="preserve">Received: </w:t>
    </w:r>
    <w:r>
      <w:rPr>
        <w:rFonts w:ascii="Times New Roman" w:hAnsi="Times New Roman"/>
        <w:sz w:val="16"/>
        <w:szCs w:val="16"/>
      </w:rPr>
      <w:t>November15, 2015</w:t>
    </w:r>
    <w:r>
      <w:rPr>
        <w:rFonts w:ascii="Times New Roman" w:hAnsi="Times New Roman"/>
        <w:b/>
        <w:bCs/>
        <w:sz w:val="16"/>
        <w:szCs w:val="16"/>
      </w:rPr>
      <w:t xml:space="preserve">, Revision:  </w:t>
    </w:r>
    <w:r>
      <w:rPr>
        <w:rFonts w:ascii="Times New Roman" w:hAnsi="Times New Roman"/>
        <w:sz w:val="16"/>
        <w:szCs w:val="16"/>
      </w:rPr>
      <w:t>March16, 2016</w:t>
    </w:r>
    <w:r>
      <w:rPr>
        <w:rFonts w:ascii="Times New Roman" w:hAnsi="Times New Roman"/>
        <w:b/>
        <w:bCs/>
        <w:sz w:val="16"/>
        <w:szCs w:val="16"/>
      </w:rPr>
      <w:t xml:space="preserve">, Accepted: </w:t>
    </w:r>
    <w:r>
      <w:rPr>
        <w:rFonts w:ascii="Times New Roman" w:hAnsi="Times New Roman"/>
        <w:sz w:val="16"/>
        <w:szCs w:val="16"/>
      </w:rPr>
      <w:t>June 20, 2016</w:t>
    </w:r>
  </w:p>
  <w:p w14:paraId="3B520342" w14:textId="77777777" w:rsidR="00586DFD" w:rsidRDefault="00586DFD" w:rsidP="00297715">
    <w:pPr>
      <w:spacing w:before="39" w:after="0"/>
      <w:ind w:left="-360" w:right="-20"/>
      <w:rPr>
        <w:rFonts w:ascii="Times New Roman" w:hAnsi="Times New Roman"/>
        <w:sz w:val="16"/>
        <w:szCs w:val="16"/>
      </w:rPr>
    </w:pPr>
    <w:r>
      <w:rPr>
        <w:rFonts w:ascii="Times New Roman" w:hAnsi="Times New Roman"/>
        <w:b/>
        <w:bCs/>
        <w:sz w:val="16"/>
        <w:szCs w:val="16"/>
      </w:rPr>
      <w:t xml:space="preserve">Print ISSN: </w:t>
    </w:r>
    <w:r>
      <w:rPr>
        <w:rFonts w:ascii="Times New Roman" w:hAnsi="Times New Roman"/>
        <w:sz w:val="16"/>
        <w:szCs w:val="16"/>
      </w:rPr>
      <w:t xml:space="preserve">0215-8175; </w:t>
    </w:r>
    <w:r>
      <w:rPr>
        <w:rFonts w:ascii="Times New Roman" w:hAnsi="Times New Roman"/>
        <w:b/>
        <w:bCs/>
        <w:sz w:val="16"/>
        <w:szCs w:val="16"/>
      </w:rPr>
      <w:t>Online ISSN</w:t>
    </w:r>
    <w:r>
      <w:rPr>
        <w:rFonts w:ascii="Times New Roman" w:hAnsi="Times New Roman"/>
        <w:sz w:val="16"/>
        <w:szCs w:val="16"/>
      </w:rPr>
      <w:t xml:space="preserve">: 2303-2499. Copyright@2016. Published by </w:t>
    </w:r>
    <w:proofErr w:type="spellStart"/>
    <w:r>
      <w:rPr>
        <w:rFonts w:ascii="Times New Roman" w:hAnsi="Times New Roman"/>
        <w:sz w:val="16"/>
        <w:szCs w:val="16"/>
      </w:rPr>
      <w:t>Pusat</w:t>
    </w:r>
    <w:proofErr w:type="spellEnd"/>
    <w:r>
      <w:rPr>
        <w:rFonts w:ascii="Times New Roman" w:hAnsi="Times New Roman"/>
        <w:sz w:val="16"/>
        <w:szCs w:val="16"/>
      </w:rPr>
      <w:t xml:space="preserve"> </w:t>
    </w:r>
    <w:proofErr w:type="spellStart"/>
    <w:r>
      <w:rPr>
        <w:rFonts w:ascii="Times New Roman" w:hAnsi="Times New Roman"/>
        <w:sz w:val="16"/>
        <w:szCs w:val="16"/>
      </w:rPr>
      <w:t>Penerbitan</w:t>
    </w:r>
    <w:proofErr w:type="spellEnd"/>
    <w:r>
      <w:rPr>
        <w:rFonts w:ascii="Times New Roman" w:hAnsi="Times New Roman"/>
        <w:sz w:val="16"/>
        <w:szCs w:val="16"/>
      </w:rPr>
      <w:t xml:space="preserve"> </w:t>
    </w:r>
    <w:proofErr w:type="spellStart"/>
    <w:r>
      <w:rPr>
        <w:rFonts w:ascii="Times New Roman" w:hAnsi="Times New Roman"/>
        <w:sz w:val="16"/>
        <w:szCs w:val="16"/>
      </w:rPr>
      <w:t>Universitas</w:t>
    </w:r>
    <w:proofErr w:type="spellEnd"/>
    <w:r>
      <w:rPr>
        <w:rFonts w:ascii="Times New Roman" w:hAnsi="Times New Roman"/>
        <w:sz w:val="16"/>
        <w:szCs w:val="16"/>
      </w:rPr>
      <w:t xml:space="preserve"> (P2U) LPPM </w:t>
    </w:r>
    <w:proofErr w:type="spellStart"/>
    <w:r>
      <w:rPr>
        <w:rFonts w:ascii="Times New Roman" w:hAnsi="Times New Roman"/>
        <w:sz w:val="16"/>
        <w:szCs w:val="16"/>
      </w:rPr>
      <w:t>Unisba</w:t>
    </w:r>
    <w:proofErr w:type="spellEnd"/>
  </w:p>
  <w:p w14:paraId="5453D8B6" w14:textId="77777777" w:rsidR="00586DFD" w:rsidRPr="00297715" w:rsidRDefault="00586DFD" w:rsidP="00297715">
    <w:pPr>
      <w:spacing w:before="39" w:after="0"/>
      <w:ind w:left="-360" w:right="-20"/>
      <w:rPr>
        <w:rFonts w:ascii="Times New Roman" w:hAnsi="Times New Roman"/>
        <w:sz w:val="16"/>
        <w:szCs w:val="16"/>
      </w:rPr>
    </w:pPr>
    <w:r>
      <w:rPr>
        <w:rFonts w:ascii="Times New Roman" w:hAnsi="Times New Roman"/>
        <w:sz w:val="16"/>
        <w:szCs w:val="16"/>
      </w:rPr>
      <w:t xml:space="preserve">Accredited by DIKTI.  SK </w:t>
    </w:r>
    <w:proofErr w:type="spellStart"/>
    <w:r>
      <w:rPr>
        <w:rFonts w:ascii="Times New Roman" w:hAnsi="Times New Roman"/>
        <w:sz w:val="16"/>
        <w:szCs w:val="16"/>
      </w:rPr>
      <w:t>Kemendikbud</w:t>
    </w:r>
    <w:proofErr w:type="spellEnd"/>
    <w:r>
      <w:rPr>
        <w:rFonts w:ascii="Times New Roman" w:hAnsi="Times New Roman"/>
        <w:sz w:val="16"/>
        <w:szCs w:val="16"/>
      </w:rPr>
      <w:t>, No.040/P/2014, valid 18-02-2014 until 18-02-2019</w:t>
    </w:r>
  </w:p>
  <w:p w14:paraId="2FADA0E0" w14:textId="77777777" w:rsidR="00586DFD" w:rsidRPr="00297715" w:rsidRDefault="00586DFD" w:rsidP="0040629F">
    <w:pPr>
      <w:pStyle w:val="Footer"/>
      <w:jc w:val="center"/>
      <w:rPr>
        <w:rFonts w:ascii="Times New Roman" w:hAnsi="Times New Roman"/>
        <w:sz w:val="16"/>
        <w:szCs w:val="24"/>
      </w:rPr>
    </w:pPr>
  </w:p>
  <w:p w14:paraId="33017449" w14:textId="77777777" w:rsidR="00586DFD" w:rsidRPr="00297715" w:rsidRDefault="00586DFD" w:rsidP="0040629F">
    <w:pPr>
      <w:pStyle w:val="Footer"/>
      <w:jc w:val="center"/>
      <w:rPr>
        <w:rFonts w:ascii="Times New Roman" w:hAnsi="Times New Roman"/>
        <w:sz w:val="16"/>
        <w:szCs w:val="24"/>
      </w:rPr>
    </w:pPr>
  </w:p>
  <w:p w14:paraId="59D6F63A" w14:textId="77777777" w:rsidR="00586DFD" w:rsidRPr="00297715" w:rsidRDefault="00586DFD" w:rsidP="0040629F">
    <w:pPr>
      <w:pStyle w:val="Footer"/>
      <w:jc w:val="center"/>
      <w:rPr>
        <w:rFonts w:ascii="Times New Roman" w:hAnsi="Times New Roman"/>
        <w:sz w:val="16"/>
        <w:szCs w:val="24"/>
      </w:rPr>
    </w:pPr>
  </w:p>
  <w:p w14:paraId="26B0E384" w14:textId="77777777" w:rsidR="00586DFD" w:rsidRPr="00297715" w:rsidRDefault="00586DFD" w:rsidP="0040629F">
    <w:pPr>
      <w:pStyle w:val="Footer"/>
      <w:jc w:val="center"/>
      <w:rPr>
        <w:rFonts w:ascii="Calibri" w:hAnsi="Calibri"/>
        <w:sz w:val="22"/>
      </w:rPr>
    </w:pPr>
    <w:r w:rsidRPr="00297715">
      <w:rPr>
        <w:rFonts w:ascii="Calibri" w:hAnsi="Calibri"/>
        <w:sz w:val="22"/>
      </w:rPr>
      <w:fldChar w:fldCharType="begin"/>
    </w:r>
    <w:r w:rsidRPr="00297715">
      <w:rPr>
        <w:rFonts w:ascii="Calibri" w:hAnsi="Calibri"/>
        <w:sz w:val="22"/>
      </w:rPr>
      <w:instrText xml:space="preserve"> PAGE   \* MERGEFORMAT </w:instrText>
    </w:r>
    <w:r w:rsidRPr="00297715">
      <w:rPr>
        <w:rFonts w:ascii="Calibri" w:hAnsi="Calibri"/>
        <w:sz w:val="22"/>
      </w:rPr>
      <w:fldChar w:fldCharType="separate"/>
    </w:r>
    <w:r w:rsidR="00E019C7">
      <w:rPr>
        <w:rFonts w:ascii="Calibri" w:hAnsi="Calibri"/>
        <w:noProof/>
        <w:sz w:val="22"/>
      </w:rPr>
      <w:t>1</w:t>
    </w:r>
    <w:r w:rsidRPr="00297715">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B9737" w14:textId="77777777" w:rsidR="002F383A" w:rsidRDefault="002F383A" w:rsidP="000E788B">
      <w:pPr>
        <w:spacing w:after="0"/>
      </w:pPr>
      <w:r>
        <w:separator/>
      </w:r>
    </w:p>
    <w:p w14:paraId="2D750ACC" w14:textId="77777777" w:rsidR="002F383A" w:rsidRDefault="002F383A"/>
  </w:footnote>
  <w:footnote w:type="continuationSeparator" w:id="0">
    <w:p w14:paraId="7A9E9AC4" w14:textId="77777777" w:rsidR="002F383A" w:rsidRDefault="002F383A" w:rsidP="000E788B">
      <w:pPr>
        <w:spacing w:after="0"/>
      </w:pPr>
      <w:r>
        <w:continuationSeparator/>
      </w:r>
    </w:p>
    <w:p w14:paraId="31A44AAA" w14:textId="77777777" w:rsidR="002F383A" w:rsidRDefault="002F3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D5AD" w14:textId="77777777" w:rsidR="00586DFD" w:rsidRPr="00D71134" w:rsidRDefault="00586DFD" w:rsidP="00FF57F4">
    <w:pPr>
      <w:pStyle w:val="Header"/>
      <w:tabs>
        <w:tab w:val="clear" w:pos="4513"/>
        <w:tab w:val="clear" w:pos="9026"/>
      </w:tabs>
      <w:ind w:right="45"/>
      <w:rPr>
        <w:rFonts w:ascii="Times New Roman" w:hAnsi="Times New Roman"/>
        <w:i/>
      </w:rPr>
    </w:pPr>
    <w:r w:rsidRPr="00D71134">
      <w:rPr>
        <w:rFonts w:ascii="Times New Roman" w:hAnsi="Times New Roman"/>
        <w:lang w:val="id-ID"/>
      </w:rPr>
      <w:t>First Author</w:t>
    </w:r>
    <w:r>
      <w:rPr>
        <w:rFonts w:ascii="Times New Roman" w:hAnsi="Times New Roman"/>
        <w:lang w:val="id-ID"/>
      </w:rPr>
      <w:t>,</w:t>
    </w:r>
    <w:r w:rsidRPr="00D71134">
      <w:rPr>
        <w:rFonts w:ascii="Times New Roman" w:hAnsi="Times New Roman"/>
        <w:lang w:val="id-ID"/>
      </w:rPr>
      <w:t xml:space="preserve"> </w:t>
    </w:r>
    <w:r>
      <w:rPr>
        <w:rFonts w:ascii="Times New Roman" w:hAnsi="Times New Roman"/>
        <w:lang w:val="id-ID"/>
      </w:rPr>
      <w:t>e</w:t>
    </w:r>
    <w:r w:rsidRPr="00D71134">
      <w:rPr>
        <w:rFonts w:ascii="Times New Roman" w:hAnsi="Times New Roman"/>
        <w:lang w:val="id-ID"/>
      </w:rPr>
      <w:t>t</w:t>
    </w:r>
    <w:r>
      <w:rPr>
        <w:rFonts w:ascii="Times New Roman" w:hAnsi="Times New Roman"/>
        <w:lang w:val="id-ID"/>
      </w:rPr>
      <w:t>.</w:t>
    </w:r>
    <w:r w:rsidRPr="00D71134">
      <w:rPr>
        <w:rFonts w:ascii="Times New Roman" w:hAnsi="Times New Roman"/>
        <w:lang w:val="id-ID"/>
      </w:rPr>
      <w:t>al.</w:t>
    </w:r>
    <w:r>
      <w:rPr>
        <w:rFonts w:ascii="Times New Roman" w:hAnsi="Times New Roman"/>
      </w:rPr>
      <w:t xml:space="preserve"> </w:t>
    </w:r>
    <w:r w:rsidRPr="00D71134">
      <w:rPr>
        <w:rFonts w:ascii="Times New Roman" w:hAnsi="Times New Roman"/>
        <w:sz w:val="22"/>
      </w:rPr>
      <w:t xml:space="preserve"> </w:t>
    </w:r>
    <w:proofErr w:type="spellStart"/>
    <w:r>
      <w:rPr>
        <w:rFonts w:ascii="Times New Roman" w:hAnsi="Times New Roman"/>
        <w:i/>
        <w:sz w:val="22"/>
      </w:rPr>
      <w:t>Ecolog</w:t>
    </w:r>
    <w:proofErr w:type="spellEnd"/>
    <w:r>
      <w:rPr>
        <w:rFonts w:ascii="Times New Roman" w:hAnsi="Times New Roman"/>
        <w:i/>
        <w:sz w:val="22"/>
        <w:lang w:val="id-ID"/>
      </w:rPr>
      <w:t>y</w:t>
    </w:r>
    <w:r w:rsidRPr="00D71134">
      <w:rPr>
        <w:rFonts w:ascii="Times New Roman" w:hAnsi="Times New Roman"/>
        <w:i/>
        <w:sz w:val="22"/>
      </w:rPr>
      <w:t xml:space="preserve"> call Foot print and </w:t>
    </w:r>
    <w:proofErr w:type="spellStart"/>
    <w:r w:rsidRPr="00D71134">
      <w:rPr>
        <w:rFonts w:ascii="Times New Roman" w:hAnsi="Times New Roman"/>
        <w:i/>
        <w:sz w:val="22"/>
      </w:rPr>
      <w:t>Biocapacity</w:t>
    </w:r>
    <w:proofErr w:type="spellEnd"/>
    <w:r w:rsidRPr="00D71134">
      <w:rPr>
        <w:rFonts w:ascii="Times New Roman" w:hAnsi="Times New Roman"/>
        <w:i/>
        <w:sz w:val="22"/>
      </w:rPr>
      <w:t xml:space="preserve"> Analysis for Flooding </w:t>
    </w:r>
    <w:proofErr w:type="spellStart"/>
    <w:r w:rsidRPr="00D71134">
      <w:rPr>
        <w:rFonts w:ascii="Times New Roman" w:hAnsi="Times New Roman"/>
        <w:i/>
        <w:sz w:val="22"/>
      </w:rPr>
      <w:t>P</w:t>
    </w:r>
    <w:r w:rsidRPr="00D71134">
      <w:rPr>
        <w:rFonts w:ascii="Times New Roman" w:hAnsi="Times New Roman"/>
        <w:i/>
        <w:spacing w:val="-9"/>
        <w:sz w:val="22"/>
      </w:rPr>
      <w:t>r</w:t>
    </w:r>
    <w:r w:rsidRPr="00D71134">
      <w:rPr>
        <w:rFonts w:ascii="Times New Roman" w:hAnsi="Times New Roman"/>
        <w:i/>
        <w:sz w:val="22"/>
      </w:rPr>
      <w:t>eventi</w:t>
    </w:r>
    <w:proofErr w:type="spellEnd"/>
    <w:r w:rsidRPr="00D71134">
      <w:rPr>
        <w:rFonts w:ascii="Times New Roman" w:hAnsi="Times New Roman"/>
        <w:i/>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788C" w14:textId="77777777" w:rsidR="00586DFD" w:rsidRPr="00297715" w:rsidRDefault="00586DFD" w:rsidP="00297715">
    <w:pPr>
      <w:pStyle w:val="Header"/>
      <w:jc w:val="center"/>
    </w:pPr>
    <w:r w:rsidRPr="00297715">
      <w:rPr>
        <w:rFonts w:ascii="Times New Roman" w:hAnsi="Times New Roman"/>
        <w:b/>
        <w:sz w:val="20"/>
        <w:szCs w:val="20"/>
        <w:lang w:val="id-ID"/>
      </w:rPr>
      <w:t>MIMBAR</w:t>
    </w:r>
    <w:r w:rsidRPr="00297715">
      <w:rPr>
        <w:rFonts w:ascii="Times New Roman" w:hAnsi="Times New Roman"/>
        <w:sz w:val="20"/>
        <w:szCs w:val="20"/>
        <w:lang w:val="id-ID"/>
      </w:rPr>
      <w:t>,</w:t>
    </w:r>
    <w:r>
      <w:rPr>
        <w:rFonts w:ascii="Times New Roman" w:hAnsi="Times New Roman"/>
        <w:sz w:val="20"/>
        <w:szCs w:val="20"/>
        <w:lang w:val="id-ID"/>
      </w:rPr>
      <w:t xml:space="preserve"> Vol.33, No. 1  (June, 2017</w:t>
    </w:r>
    <w:r w:rsidRPr="00297715">
      <w:rPr>
        <w:rFonts w:ascii="Times New Roman" w:hAnsi="Times New Roman"/>
        <w:sz w:val="20"/>
        <w:szCs w:val="20"/>
        <w:lang w:val="id-ID"/>
      </w:rPr>
      <w:t>):</w:t>
    </w:r>
    <w:r>
      <w:rPr>
        <w:rFonts w:ascii="Times New Roman" w:hAnsi="Times New Roman"/>
        <w:sz w:val="20"/>
        <w:szCs w:val="20"/>
        <w:lang w:val="id-ID"/>
      </w:rPr>
      <w:t xml:space="preserve"> 01-08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D775" w14:textId="77777777" w:rsidR="00586DFD" w:rsidRPr="00D71134" w:rsidRDefault="00586DFD" w:rsidP="00297715">
    <w:pPr>
      <w:spacing w:before="48" w:after="0" w:line="251" w:lineRule="exact"/>
      <w:ind w:left="2829" w:right="-20"/>
      <w:rPr>
        <w:rFonts w:ascii="Times New Roman" w:hAnsi="Times New Roman"/>
        <w:sz w:val="19"/>
        <w:szCs w:val="19"/>
        <w:lang w:val="id-ID"/>
      </w:rPr>
    </w:pPr>
    <w:r>
      <w:rPr>
        <w:rFonts w:ascii="Arial Black" w:hAnsi="Arial Black" w:cs="Arial Black"/>
        <w:position w:val="-1"/>
        <w:sz w:val="19"/>
        <w:szCs w:val="19"/>
      </w:rPr>
      <w:t>MIM</w:t>
    </w:r>
    <w:r>
      <w:rPr>
        <w:rFonts w:ascii="Arial Black" w:hAnsi="Arial Black" w:cs="Arial Black"/>
        <w:spacing w:val="-3"/>
        <w:position w:val="-1"/>
        <w:sz w:val="19"/>
        <w:szCs w:val="19"/>
      </w:rPr>
      <w:t>B</w:t>
    </w:r>
    <w:r>
      <w:rPr>
        <w:rFonts w:ascii="Arial Black" w:hAnsi="Arial Black" w:cs="Arial Black"/>
        <w:position w:val="-1"/>
        <w:sz w:val="19"/>
        <w:szCs w:val="19"/>
      </w:rPr>
      <w:t>AR</w:t>
    </w:r>
    <w:r>
      <w:rPr>
        <w:rFonts w:ascii="Arial Narrow" w:hAnsi="Arial Narrow" w:cs="Arial Narrow"/>
        <w:position w:val="-1"/>
        <w:sz w:val="18"/>
        <w:szCs w:val="18"/>
      </w:rPr>
      <w:t>,</w:t>
    </w:r>
    <w:r>
      <w:rPr>
        <w:rFonts w:ascii="Arial Narrow" w:hAnsi="Arial Narrow" w:cs="Arial Narrow"/>
        <w:position w:val="-1"/>
        <w:sz w:val="18"/>
        <w:szCs w:val="18"/>
        <w:lang w:val="id-ID"/>
      </w:rPr>
      <w:t xml:space="preserve"> </w:t>
    </w:r>
    <w:r>
      <w:rPr>
        <w:rFonts w:ascii="Times New Roman" w:hAnsi="Times New Roman"/>
        <w:spacing w:val="-24"/>
        <w:position w:val="-1"/>
        <w:sz w:val="19"/>
        <w:szCs w:val="19"/>
      </w:rPr>
      <w:t>V</w:t>
    </w:r>
    <w:r>
      <w:rPr>
        <w:rFonts w:ascii="Times New Roman" w:hAnsi="Times New Roman"/>
        <w:position w:val="-1"/>
        <w:sz w:val="19"/>
        <w:szCs w:val="19"/>
      </w:rPr>
      <w:t xml:space="preserve">ol.33, No. </w:t>
    </w:r>
    <w:proofErr w:type="gramStart"/>
    <w:r>
      <w:rPr>
        <w:rFonts w:ascii="Times New Roman" w:hAnsi="Times New Roman"/>
        <w:position w:val="-1"/>
        <w:sz w:val="19"/>
        <w:szCs w:val="19"/>
      </w:rPr>
      <w:t>1</w:t>
    </w:r>
    <w:r w:rsidRPr="00F84CF7">
      <w:rPr>
        <w:rFonts w:ascii="Times New Roman" w:hAnsi="Times New Roman"/>
        <w:position w:val="-1"/>
        <w:sz w:val="19"/>
        <w:szCs w:val="19"/>
        <w:vertAlign w:val="superscript"/>
        <w:lang w:val="id-ID"/>
      </w:rPr>
      <w:t>st</w:t>
    </w:r>
    <w:r>
      <w:rPr>
        <w:rFonts w:ascii="Times New Roman" w:hAnsi="Times New Roman"/>
        <w:position w:val="-1"/>
        <w:sz w:val="19"/>
        <w:szCs w:val="19"/>
      </w:rPr>
      <w:t xml:space="preserve">  (</w:t>
    </w:r>
    <w:proofErr w:type="gramEnd"/>
    <w:r>
      <w:rPr>
        <w:rFonts w:ascii="Times New Roman" w:hAnsi="Times New Roman"/>
        <w:position w:val="-1"/>
        <w:sz w:val="19"/>
        <w:szCs w:val="19"/>
      </w:rPr>
      <w:t>June, 2017):</w:t>
    </w:r>
    <w:r>
      <w:rPr>
        <w:rFonts w:ascii="Times New Roman" w:hAnsi="Times New Roman"/>
        <w:position w:val="-1"/>
        <w:sz w:val="19"/>
        <w:szCs w:val="19"/>
        <w:lang w:val="id-ID"/>
      </w:rPr>
      <w:t xml:space="preserve"> </w:t>
    </w:r>
    <w:r>
      <w:rPr>
        <w:rFonts w:ascii="Times New Roman" w:hAnsi="Times New Roman"/>
        <w:position w:val="-1"/>
        <w:sz w:val="19"/>
        <w:szCs w:val="19"/>
      </w:rPr>
      <w:t>01-0</w:t>
    </w:r>
    <w:r>
      <w:rPr>
        <w:rFonts w:ascii="Times New Roman" w:hAnsi="Times New Roman"/>
        <w:position w:val="-1"/>
        <w:sz w:val="19"/>
        <w:szCs w:val="19"/>
        <w:lang w:val="id-ID"/>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B6B"/>
    <w:multiLevelType w:val="multilevel"/>
    <w:tmpl w:val="65087F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5A37D6"/>
    <w:multiLevelType w:val="hybridMultilevel"/>
    <w:tmpl w:val="3AB0CF00"/>
    <w:lvl w:ilvl="0" w:tplc="FAA0597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D23DBB"/>
    <w:multiLevelType w:val="hybridMultilevel"/>
    <w:tmpl w:val="0BF62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F73F38"/>
    <w:multiLevelType w:val="hybridMultilevel"/>
    <w:tmpl w:val="A5007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3"/>
  </w:num>
  <w:num w:numId="2">
    <w:abstractNumId w:val="4"/>
  </w:num>
  <w:num w:numId="3">
    <w:abstractNumId w:val="6"/>
  </w:num>
  <w:num w:numId="4">
    <w:abstractNumId w:val="10"/>
  </w:num>
  <w:num w:numId="5">
    <w:abstractNumId w:val="7"/>
  </w:num>
  <w:num w:numId="6">
    <w:abstractNumId w:val="14"/>
  </w:num>
  <w:num w:numId="7">
    <w:abstractNumId w:val="3"/>
  </w:num>
  <w:num w:numId="8">
    <w:abstractNumId w:val="11"/>
  </w:num>
  <w:num w:numId="9">
    <w:abstractNumId w:val="12"/>
  </w:num>
  <w:num w:numId="10">
    <w:abstractNumId w:val="5"/>
  </w:num>
  <w:num w:numId="11">
    <w:abstractNumId w:val="2"/>
  </w:num>
  <w:num w:numId="12">
    <w:abstractNumId w:val="0"/>
  </w:num>
  <w:num w:numId="13">
    <w:abstractNumId w:val="8"/>
  </w:num>
  <w:num w:numId="14">
    <w:abstractNumId w:val="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iatma Siregar">
    <w15:presenceInfo w15:providerId="Windows Live" w15:userId="50e7fca776e52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sDSzMDczNDWxMDdU0lEKTi0uzszPAykwqQUAaCtVLywAAAA="/>
  </w:docVars>
  <w:rsids>
    <w:rsidRoot w:val="007A7524"/>
    <w:rsid w:val="00011063"/>
    <w:rsid w:val="000213C2"/>
    <w:rsid w:val="0003396B"/>
    <w:rsid w:val="000579C0"/>
    <w:rsid w:val="00060B88"/>
    <w:rsid w:val="0006101A"/>
    <w:rsid w:val="000626D0"/>
    <w:rsid w:val="00063CA2"/>
    <w:rsid w:val="00072BB5"/>
    <w:rsid w:val="00073A85"/>
    <w:rsid w:val="00073DD1"/>
    <w:rsid w:val="000777AA"/>
    <w:rsid w:val="00086250"/>
    <w:rsid w:val="00092CAF"/>
    <w:rsid w:val="00095084"/>
    <w:rsid w:val="000956FA"/>
    <w:rsid w:val="00096CF3"/>
    <w:rsid w:val="000971BB"/>
    <w:rsid w:val="000B5AC3"/>
    <w:rsid w:val="000C1F96"/>
    <w:rsid w:val="000D18A9"/>
    <w:rsid w:val="000D4330"/>
    <w:rsid w:val="000E195A"/>
    <w:rsid w:val="000E1CE4"/>
    <w:rsid w:val="000E540A"/>
    <w:rsid w:val="000E788B"/>
    <w:rsid w:val="000F1329"/>
    <w:rsid w:val="000F1874"/>
    <w:rsid w:val="001002C4"/>
    <w:rsid w:val="00102363"/>
    <w:rsid w:val="001030C4"/>
    <w:rsid w:val="001174EC"/>
    <w:rsid w:val="00117E44"/>
    <w:rsid w:val="00127459"/>
    <w:rsid w:val="0013063E"/>
    <w:rsid w:val="001371AC"/>
    <w:rsid w:val="00144C41"/>
    <w:rsid w:val="001465A6"/>
    <w:rsid w:val="001470DD"/>
    <w:rsid w:val="00150AAE"/>
    <w:rsid w:val="00156609"/>
    <w:rsid w:val="001753F6"/>
    <w:rsid w:val="001757A3"/>
    <w:rsid w:val="00192C9A"/>
    <w:rsid w:val="001950F0"/>
    <w:rsid w:val="001A26B2"/>
    <w:rsid w:val="001A428C"/>
    <w:rsid w:val="001A49DD"/>
    <w:rsid w:val="001A4DD0"/>
    <w:rsid w:val="001B54E8"/>
    <w:rsid w:val="001D5426"/>
    <w:rsid w:val="001D73FD"/>
    <w:rsid w:val="001E29AE"/>
    <w:rsid w:val="00217FF5"/>
    <w:rsid w:val="00222F24"/>
    <w:rsid w:val="00223FB3"/>
    <w:rsid w:val="002264FD"/>
    <w:rsid w:val="00242896"/>
    <w:rsid w:val="00246919"/>
    <w:rsid w:val="00253B67"/>
    <w:rsid w:val="0026081A"/>
    <w:rsid w:val="002622B7"/>
    <w:rsid w:val="00263FF8"/>
    <w:rsid w:val="00267DC9"/>
    <w:rsid w:val="00275648"/>
    <w:rsid w:val="0029015C"/>
    <w:rsid w:val="002909CD"/>
    <w:rsid w:val="00292CB5"/>
    <w:rsid w:val="00297715"/>
    <w:rsid w:val="002A0E22"/>
    <w:rsid w:val="002A1192"/>
    <w:rsid w:val="002A2CA3"/>
    <w:rsid w:val="002A75B6"/>
    <w:rsid w:val="002B07FB"/>
    <w:rsid w:val="002D18AB"/>
    <w:rsid w:val="002D7AFB"/>
    <w:rsid w:val="002E23CC"/>
    <w:rsid w:val="002E4BF7"/>
    <w:rsid w:val="002E7267"/>
    <w:rsid w:val="002F2E2F"/>
    <w:rsid w:val="002F383A"/>
    <w:rsid w:val="002F4C16"/>
    <w:rsid w:val="002F4C7F"/>
    <w:rsid w:val="00300754"/>
    <w:rsid w:val="00306172"/>
    <w:rsid w:val="00306DCB"/>
    <w:rsid w:val="003153CC"/>
    <w:rsid w:val="00322493"/>
    <w:rsid w:val="0032566E"/>
    <w:rsid w:val="00327D87"/>
    <w:rsid w:val="003476E8"/>
    <w:rsid w:val="0035106A"/>
    <w:rsid w:val="00352E57"/>
    <w:rsid w:val="003566F3"/>
    <w:rsid w:val="00361EFC"/>
    <w:rsid w:val="0036662F"/>
    <w:rsid w:val="003704C5"/>
    <w:rsid w:val="00370F37"/>
    <w:rsid w:val="00371013"/>
    <w:rsid w:val="00374B61"/>
    <w:rsid w:val="0037537C"/>
    <w:rsid w:val="0038238F"/>
    <w:rsid w:val="00393239"/>
    <w:rsid w:val="003937FD"/>
    <w:rsid w:val="00395573"/>
    <w:rsid w:val="003A7EB1"/>
    <w:rsid w:val="003B654D"/>
    <w:rsid w:val="003B699B"/>
    <w:rsid w:val="003B7670"/>
    <w:rsid w:val="003D1420"/>
    <w:rsid w:val="003D20B0"/>
    <w:rsid w:val="003D3BFF"/>
    <w:rsid w:val="003D6B21"/>
    <w:rsid w:val="003E7C72"/>
    <w:rsid w:val="003F4BCB"/>
    <w:rsid w:val="004021F7"/>
    <w:rsid w:val="00402BFE"/>
    <w:rsid w:val="0040629F"/>
    <w:rsid w:val="0041571C"/>
    <w:rsid w:val="00423172"/>
    <w:rsid w:val="00432252"/>
    <w:rsid w:val="00432A93"/>
    <w:rsid w:val="00453D1B"/>
    <w:rsid w:val="00455B2B"/>
    <w:rsid w:val="00455C32"/>
    <w:rsid w:val="00456470"/>
    <w:rsid w:val="00460035"/>
    <w:rsid w:val="004609FD"/>
    <w:rsid w:val="0046235C"/>
    <w:rsid w:val="00462930"/>
    <w:rsid w:val="00463310"/>
    <w:rsid w:val="00464018"/>
    <w:rsid w:val="00464420"/>
    <w:rsid w:val="004650F4"/>
    <w:rsid w:val="00465E8C"/>
    <w:rsid w:val="00470354"/>
    <w:rsid w:val="00470824"/>
    <w:rsid w:val="004749F5"/>
    <w:rsid w:val="004761F0"/>
    <w:rsid w:val="00477EF8"/>
    <w:rsid w:val="004805AD"/>
    <w:rsid w:val="004826AF"/>
    <w:rsid w:val="00484D64"/>
    <w:rsid w:val="004918E4"/>
    <w:rsid w:val="00496BAB"/>
    <w:rsid w:val="004A29D1"/>
    <w:rsid w:val="004A7AB9"/>
    <w:rsid w:val="004B3C05"/>
    <w:rsid w:val="004C6833"/>
    <w:rsid w:val="004C7B3B"/>
    <w:rsid w:val="004D058F"/>
    <w:rsid w:val="004D25FB"/>
    <w:rsid w:val="004D3ED4"/>
    <w:rsid w:val="004F677F"/>
    <w:rsid w:val="005123B3"/>
    <w:rsid w:val="0051407B"/>
    <w:rsid w:val="005143E2"/>
    <w:rsid w:val="0052605D"/>
    <w:rsid w:val="0053309E"/>
    <w:rsid w:val="0053373C"/>
    <w:rsid w:val="00537650"/>
    <w:rsid w:val="005403F7"/>
    <w:rsid w:val="00541C13"/>
    <w:rsid w:val="005538FE"/>
    <w:rsid w:val="005567B5"/>
    <w:rsid w:val="00556A5F"/>
    <w:rsid w:val="00557282"/>
    <w:rsid w:val="005600ED"/>
    <w:rsid w:val="00560B93"/>
    <w:rsid w:val="005644A3"/>
    <w:rsid w:val="00567993"/>
    <w:rsid w:val="005711A6"/>
    <w:rsid w:val="005800C1"/>
    <w:rsid w:val="005858FF"/>
    <w:rsid w:val="00586392"/>
    <w:rsid w:val="00586DFD"/>
    <w:rsid w:val="005A2C96"/>
    <w:rsid w:val="005A4E34"/>
    <w:rsid w:val="005A7D7D"/>
    <w:rsid w:val="005B2CBC"/>
    <w:rsid w:val="005B6E88"/>
    <w:rsid w:val="005C4C33"/>
    <w:rsid w:val="005C69FE"/>
    <w:rsid w:val="005D5943"/>
    <w:rsid w:val="005E3C92"/>
    <w:rsid w:val="005E5F80"/>
    <w:rsid w:val="005E6AA2"/>
    <w:rsid w:val="005F2196"/>
    <w:rsid w:val="00604CDC"/>
    <w:rsid w:val="00605CC8"/>
    <w:rsid w:val="006114AA"/>
    <w:rsid w:val="00611ACB"/>
    <w:rsid w:val="00623893"/>
    <w:rsid w:val="00626BA7"/>
    <w:rsid w:val="00641D8D"/>
    <w:rsid w:val="006466F5"/>
    <w:rsid w:val="00647827"/>
    <w:rsid w:val="006605E8"/>
    <w:rsid w:val="00663D0C"/>
    <w:rsid w:val="00665780"/>
    <w:rsid w:val="00671188"/>
    <w:rsid w:val="0067265B"/>
    <w:rsid w:val="00685727"/>
    <w:rsid w:val="00687B73"/>
    <w:rsid w:val="00687ED1"/>
    <w:rsid w:val="00691715"/>
    <w:rsid w:val="00693DDD"/>
    <w:rsid w:val="00694648"/>
    <w:rsid w:val="00695DC0"/>
    <w:rsid w:val="006A50C7"/>
    <w:rsid w:val="006A5F22"/>
    <w:rsid w:val="006B7F07"/>
    <w:rsid w:val="006C1A3F"/>
    <w:rsid w:val="006C279F"/>
    <w:rsid w:val="006C5203"/>
    <w:rsid w:val="006D1A07"/>
    <w:rsid w:val="00700A20"/>
    <w:rsid w:val="00703DF7"/>
    <w:rsid w:val="0070629C"/>
    <w:rsid w:val="00707C0A"/>
    <w:rsid w:val="00730138"/>
    <w:rsid w:val="0073042A"/>
    <w:rsid w:val="00732953"/>
    <w:rsid w:val="00734BE7"/>
    <w:rsid w:val="00740F35"/>
    <w:rsid w:val="00744D54"/>
    <w:rsid w:val="007525C3"/>
    <w:rsid w:val="00762AE6"/>
    <w:rsid w:val="00770C2F"/>
    <w:rsid w:val="0077481B"/>
    <w:rsid w:val="00782608"/>
    <w:rsid w:val="00783B6B"/>
    <w:rsid w:val="00793EA2"/>
    <w:rsid w:val="00795C13"/>
    <w:rsid w:val="007A7524"/>
    <w:rsid w:val="007C7F7D"/>
    <w:rsid w:val="007D5B87"/>
    <w:rsid w:val="007D7B06"/>
    <w:rsid w:val="007E41CF"/>
    <w:rsid w:val="007E4FFF"/>
    <w:rsid w:val="007E6FCC"/>
    <w:rsid w:val="007F2DD2"/>
    <w:rsid w:val="007F329D"/>
    <w:rsid w:val="00803405"/>
    <w:rsid w:val="008115E7"/>
    <w:rsid w:val="0081491D"/>
    <w:rsid w:val="00822FE8"/>
    <w:rsid w:val="00823312"/>
    <w:rsid w:val="00825D9D"/>
    <w:rsid w:val="00831040"/>
    <w:rsid w:val="0083228D"/>
    <w:rsid w:val="00833C87"/>
    <w:rsid w:val="008749B3"/>
    <w:rsid w:val="008817D4"/>
    <w:rsid w:val="0088446A"/>
    <w:rsid w:val="008A1FC5"/>
    <w:rsid w:val="008A3F5A"/>
    <w:rsid w:val="008A6EC5"/>
    <w:rsid w:val="008B1D64"/>
    <w:rsid w:val="008D5115"/>
    <w:rsid w:val="008D5A18"/>
    <w:rsid w:val="008E0FCE"/>
    <w:rsid w:val="008E17B9"/>
    <w:rsid w:val="008E5ED2"/>
    <w:rsid w:val="008F59DB"/>
    <w:rsid w:val="009048D0"/>
    <w:rsid w:val="00914D4D"/>
    <w:rsid w:val="00923617"/>
    <w:rsid w:val="0093053E"/>
    <w:rsid w:val="00931EDD"/>
    <w:rsid w:val="0093484C"/>
    <w:rsid w:val="0093543A"/>
    <w:rsid w:val="009372DF"/>
    <w:rsid w:val="00945F57"/>
    <w:rsid w:val="00950ED9"/>
    <w:rsid w:val="0095366C"/>
    <w:rsid w:val="009702E6"/>
    <w:rsid w:val="00972724"/>
    <w:rsid w:val="009765B4"/>
    <w:rsid w:val="0098735A"/>
    <w:rsid w:val="009910D6"/>
    <w:rsid w:val="009A1597"/>
    <w:rsid w:val="009A26F0"/>
    <w:rsid w:val="009A2BEF"/>
    <w:rsid w:val="009B5606"/>
    <w:rsid w:val="009B69A4"/>
    <w:rsid w:val="009B7122"/>
    <w:rsid w:val="009C3B84"/>
    <w:rsid w:val="009F4273"/>
    <w:rsid w:val="009F5409"/>
    <w:rsid w:val="009F61A3"/>
    <w:rsid w:val="009F7D63"/>
    <w:rsid w:val="00A006F9"/>
    <w:rsid w:val="00A14F70"/>
    <w:rsid w:val="00A16092"/>
    <w:rsid w:val="00A21D4A"/>
    <w:rsid w:val="00A25594"/>
    <w:rsid w:val="00A2677D"/>
    <w:rsid w:val="00A30934"/>
    <w:rsid w:val="00A4031F"/>
    <w:rsid w:val="00A420E2"/>
    <w:rsid w:val="00A448CB"/>
    <w:rsid w:val="00A47489"/>
    <w:rsid w:val="00A4752F"/>
    <w:rsid w:val="00A6019D"/>
    <w:rsid w:val="00A632A0"/>
    <w:rsid w:val="00A67F7F"/>
    <w:rsid w:val="00A72C1D"/>
    <w:rsid w:val="00A947EC"/>
    <w:rsid w:val="00A9546F"/>
    <w:rsid w:val="00A97368"/>
    <w:rsid w:val="00AB321B"/>
    <w:rsid w:val="00AC0BA8"/>
    <w:rsid w:val="00AD1D93"/>
    <w:rsid w:val="00AD3300"/>
    <w:rsid w:val="00AD596B"/>
    <w:rsid w:val="00AD7C8A"/>
    <w:rsid w:val="00AE56A5"/>
    <w:rsid w:val="00AF0930"/>
    <w:rsid w:val="00B00806"/>
    <w:rsid w:val="00B0520F"/>
    <w:rsid w:val="00B07743"/>
    <w:rsid w:val="00B2558E"/>
    <w:rsid w:val="00B2732D"/>
    <w:rsid w:val="00B33070"/>
    <w:rsid w:val="00B343FF"/>
    <w:rsid w:val="00B412FB"/>
    <w:rsid w:val="00B466A7"/>
    <w:rsid w:val="00B5556A"/>
    <w:rsid w:val="00B66D7E"/>
    <w:rsid w:val="00B66F68"/>
    <w:rsid w:val="00B77C38"/>
    <w:rsid w:val="00B90494"/>
    <w:rsid w:val="00B906EA"/>
    <w:rsid w:val="00B92364"/>
    <w:rsid w:val="00B9462E"/>
    <w:rsid w:val="00B9501C"/>
    <w:rsid w:val="00B9720D"/>
    <w:rsid w:val="00BA16A0"/>
    <w:rsid w:val="00BB2FAA"/>
    <w:rsid w:val="00BB6578"/>
    <w:rsid w:val="00BB6CF4"/>
    <w:rsid w:val="00BB6ED4"/>
    <w:rsid w:val="00BC0E6A"/>
    <w:rsid w:val="00BC3A17"/>
    <w:rsid w:val="00BC7530"/>
    <w:rsid w:val="00BF4509"/>
    <w:rsid w:val="00BF5C99"/>
    <w:rsid w:val="00C07D96"/>
    <w:rsid w:val="00C24652"/>
    <w:rsid w:val="00C32E10"/>
    <w:rsid w:val="00C472BE"/>
    <w:rsid w:val="00C528DB"/>
    <w:rsid w:val="00C53049"/>
    <w:rsid w:val="00C73A66"/>
    <w:rsid w:val="00C84606"/>
    <w:rsid w:val="00C8494D"/>
    <w:rsid w:val="00C877E2"/>
    <w:rsid w:val="00C927E2"/>
    <w:rsid w:val="00C95208"/>
    <w:rsid w:val="00CC2FE8"/>
    <w:rsid w:val="00CC4AEB"/>
    <w:rsid w:val="00CC53DE"/>
    <w:rsid w:val="00CE18D5"/>
    <w:rsid w:val="00CE4412"/>
    <w:rsid w:val="00CE6110"/>
    <w:rsid w:val="00CF4557"/>
    <w:rsid w:val="00D075F6"/>
    <w:rsid w:val="00D1013F"/>
    <w:rsid w:val="00D10A8A"/>
    <w:rsid w:val="00D21867"/>
    <w:rsid w:val="00D30045"/>
    <w:rsid w:val="00D3432C"/>
    <w:rsid w:val="00D51680"/>
    <w:rsid w:val="00D5595D"/>
    <w:rsid w:val="00D71134"/>
    <w:rsid w:val="00D711DE"/>
    <w:rsid w:val="00D7157C"/>
    <w:rsid w:val="00D74A15"/>
    <w:rsid w:val="00D87567"/>
    <w:rsid w:val="00D879F6"/>
    <w:rsid w:val="00D93700"/>
    <w:rsid w:val="00DA3C5F"/>
    <w:rsid w:val="00DA6CD0"/>
    <w:rsid w:val="00DB6893"/>
    <w:rsid w:val="00DC4350"/>
    <w:rsid w:val="00DC5919"/>
    <w:rsid w:val="00DD0C18"/>
    <w:rsid w:val="00DD7023"/>
    <w:rsid w:val="00DE31D8"/>
    <w:rsid w:val="00DF00DC"/>
    <w:rsid w:val="00DF7F20"/>
    <w:rsid w:val="00E019C7"/>
    <w:rsid w:val="00E121AC"/>
    <w:rsid w:val="00E134A2"/>
    <w:rsid w:val="00E16F3D"/>
    <w:rsid w:val="00E179CB"/>
    <w:rsid w:val="00E215BF"/>
    <w:rsid w:val="00E2185B"/>
    <w:rsid w:val="00E271CF"/>
    <w:rsid w:val="00E338AA"/>
    <w:rsid w:val="00E37177"/>
    <w:rsid w:val="00E557B5"/>
    <w:rsid w:val="00E61948"/>
    <w:rsid w:val="00E62325"/>
    <w:rsid w:val="00E63850"/>
    <w:rsid w:val="00E67403"/>
    <w:rsid w:val="00E71E70"/>
    <w:rsid w:val="00E72DB8"/>
    <w:rsid w:val="00E73D6F"/>
    <w:rsid w:val="00E75BED"/>
    <w:rsid w:val="00E76DD9"/>
    <w:rsid w:val="00E77CB1"/>
    <w:rsid w:val="00E8074C"/>
    <w:rsid w:val="00E87D13"/>
    <w:rsid w:val="00E90165"/>
    <w:rsid w:val="00E902AE"/>
    <w:rsid w:val="00E95A02"/>
    <w:rsid w:val="00EB37CF"/>
    <w:rsid w:val="00EB4AB7"/>
    <w:rsid w:val="00EC103E"/>
    <w:rsid w:val="00EC17F3"/>
    <w:rsid w:val="00EC73E0"/>
    <w:rsid w:val="00EE21B4"/>
    <w:rsid w:val="00EE50E8"/>
    <w:rsid w:val="00EE719A"/>
    <w:rsid w:val="00F12641"/>
    <w:rsid w:val="00F167F2"/>
    <w:rsid w:val="00F206C7"/>
    <w:rsid w:val="00F21044"/>
    <w:rsid w:val="00F219B0"/>
    <w:rsid w:val="00F223E1"/>
    <w:rsid w:val="00F234AA"/>
    <w:rsid w:val="00F276B4"/>
    <w:rsid w:val="00F302ED"/>
    <w:rsid w:val="00F31507"/>
    <w:rsid w:val="00F34AF8"/>
    <w:rsid w:val="00F40E97"/>
    <w:rsid w:val="00F44DED"/>
    <w:rsid w:val="00F456E4"/>
    <w:rsid w:val="00F45B8B"/>
    <w:rsid w:val="00F620A1"/>
    <w:rsid w:val="00F646C0"/>
    <w:rsid w:val="00F75725"/>
    <w:rsid w:val="00F84CF7"/>
    <w:rsid w:val="00F90C93"/>
    <w:rsid w:val="00F92982"/>
    <w:rsid w:val="00FB0616"/>
    <w:rsid w:val="00FB14C7"/>
    <w:rsid w:val="00FC6748"/>
    <w:rsid w:val="00FC7F5F"/>
    <w:rsid w:val="00FD606B"/>
    <w:rsid w:val="00FD77D8"/>
    <w:rsid w:val="00FE5AE4"/>
    <w:rsid w:val="00FF0F06"/>
    <w:rsid w:val="00FF35BB"/>
    <w:rsid w:val="00FF4A94"/>
    <w:rsid w:val="00FF519D"/>
    <w:rsid w:val="00FF57F4"/>
    <w:rsid w:val="00FF7D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styleId="ListParagraph">
    <w:name w:val="List Paragraph"/>
    <w:basedOn w:val="Normal"/>
    <w:uiPriority w:val="34"/>
    <w:qFormat/>
    <w:rsid w:val="006114AA"/>
    <w:pPr>
      <w:spacing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086250"/>
    <w:rPr>
      <w:sz w:val="16"/>
      <w:szCs w:val="16"/>
    </w:rPr>
  </w:style>
  <w:style w:type="paragraph" w:styleId="CommentText">
    <w:name w:val="annotation text"/>
    <w:basedOn w:val="Normal"/>
    <w:link w:val="CommentTextChar"/>
    <w:uiPriority w:val="99"/>
    <w:semiHidden/>
    <w:unhideWhenUsed/>
    <w:rsid w:val="00086250"/>
    <w:rPr>
      <w:sz w:val="20"/>
      <w:szCs w:val="20"/>
    </w:rPr>
  </w:style>
  <w:style w:type="character" w:customStyle="1" w:styleId="CommentTextChar">
    <w:name w:val="Comment Text Char"/>
    <w:basedOn w:val="DefaultParagraphFont"/>
    <w:link w:val="CommentText"/>
    <w:uiPriority w:val="99"/>
    <w:semiHidden/>
    <w:rsid w:val="00086250"/>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086250"/>
    <w:rPr>
      <w:b/>
      <w:bCs/>
    </w:rPr>
  </w:style>
  <w:style w:type="character" w:customStyle="1" w:styleId="CommentSubjectChar">
    <w:name w:val="Comment Subject Char"/>
    <w:basedOn w:val="CommentTextChar"/>
    <w:link w:val="CommentSubject"/>
    <w:uiPriority w:val="99"/>
    <w:semiHidden/>
    <w:rsid w:val="00086250"/>
    <w:rPr>
      <w:rFonts w:ascii="Cambria" w:hAnsi="Cambria" w:cs="Times New Roman"/>
      <w:b/>
      <w:bCs/>
    </w:rPr>
  </w:style>
  <w:style w:type="character" w:styleId="PlaceholderText">
    <w:name w:val="Placeholder Text"/>
    <w:basedOn w:val="DefaultParagraphFont"/>
    <w:uiPriority w:val="99"/>
    <w:semiHidden/>
    <w:rsid w:val="00626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styleId="ListParagraph">
    <w:name w:val="List Paragraph"/>
    <w:basedOn w:val="Normal"/>
    <w:uiPriority w:val="34"/>
    <w:qFormat/>
    <w:rsid w:val="006114AA"/>
    <w:pPr>
      <w:spacing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086250"/>
    <w:rPr>
      <w:sz w:val="16"/>
      <w:szCs w:val="16"/>
    </w:rPr>
  </w:style>
  <w:style w:type="paragraph" w:styleId="CommentText">
    <w:name w:val="annotation text"/>
    <w:basedOn w:val="Normal"/>
    <w:link w:val="CommentTextChar"/>
    <w:uiPriority w:val="99"/>
    <w:semiHidden/>
    <w:unhideWhenUsed/>
    <w:rsid w:val="00086250"/>
    <w:rPr>
      <w:sz w:val="20"/>
      <w:szCs w:val="20"/>
    </w:rPr>
  </w:style>
  <w:style w:type="character" w:customStyle="1" w:styleId="CommentTextChar">
    <w:name w:val="Comment Text Char"/>
    <w:basedOn w:val="DefaultParagraphFont"/>
    <w:link w:val="CommentText"/>
    <w:uiPriority w:val="99"/>
    <w:semiHidden/>
    <w:rsid w:val="00086250"/>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086250"/>
    <w:rPr>
      <w:b/>
      <w:bCs/>
    </w:rPr>
  </w:style>
  <w:style w:type="character" w:customStyle="1" w:styleId="CommentSubjectChar">
    <w:name w:val="Comment Subject Char"/>
    <w:basedOn w:val="CommentTextChar"/>
    <w:link w:val="CommentSubject"/>
    <w:uiPriority w:val="99"/>
    <w:semiHidden/>
    <w:rsid w:val="00086250"/>
    <w:rPr>
      <w:rFonts w:ascii="Cambria" w:hAnsi="Cambria" w:cs="Times New Roman"/>
      <w:b/>
      <w:bCs/>
    </w:rPr>
  </w:style>
  <w:style w:type="character" w:styleId="PlaceholderText">
    <w:name w:val="Placeholder Text"/>
    <w:basedOn w:val="DefaultParagraphFont"/>
    <w:uiPriority w:val="99"/>
    <w:semiHidden/>
    <w:rsid w:val="00626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6666">
      <w:bodyDiv w:val="1"/>
      <w:marLeft w:val="0"/>
      <w:marRight w:val="0"/>
      <w:marTop w:val="0"/>
      <w:marBottom w:val="0"/>
      <w:divBdr>
        <w:top w:val="none" w:sz="0" w:space="0" w:color="auto"/>
        <w:left w:val="none" w:sz="0" w:space="0" w:color="auto"/>
        <w:bottom w:val="none" w:sz="0" w:space="0" w:color="auto"/>
        <w:right w:val="none" w:sz="0" w:space="0" w:color="auto"/>
      </w:divBdr>
    </w:div>
    <w:div w:id="405884339">
      <w:bodyDiv w:val="1"/>
      <w:marLeft w:val="0"/>
      <w:marRight w:val="0"/>
      <w:marTop w:val="0"/>
      <w:marBottom w:val="0"/>
      <w:divBdr>
        <w:top w:val="none" w:sz="0" w:space="0" w:color="auto"/>
        <w:left w:val="none" w:sz="0" w:space="0" w:color="auto"/>
        <w:bottom w:val="none" w:sz="0" w:space="0" w:color="auto"/>
        <w:right w:val="none" w:sz="0" w:space="0" w:color="auto"/>
      </w:divBdr>
    </w:div>
    <w:div w:id="812258469">
      <w:bodyDiv w:val="1"/>
      <w:marLeft w:val="0"/>
      <w:marRight w:val="0"/>
      <w:marTop w:val="0"/>
      <w:marBottom w:val="0"/>
      <w:divBdr>
        <w:top w:val="none" w:sz="0" w:space="0" w:color="auto"/>
        <w:left w:val="none" w:sz="0" w:space="0" w:color="auto"/>
        <w:bottom w:val="none" w:sz="0" w:space="0" w:color="auto"/>
        <w:right w:val="none" w:sz="0" w:space="0" w:color="auto"/>
      </w:divBdr>
    </w:div>
    <w:div w:id="976573840">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564637054">
      <w:bodyDiv w:val="1"/>
      <w:marLeft w:val="0"/>
      <w:marRight w:val="0"/>
      <w:marTop w:val="0"/>
      <w:marBottom w:val="0"/>
      <w:divBdr>
        <w:top w:val="none" w:sz="0" w:space="0" w:color="auto"/>
        <w:left w:val="none" w:sz="0" w:space="0" w:color="auto"/>
        <w:bottom w:val="none" w:sz="0" w:space="0" w:color="auto"/>
        <w:right w:val="none" w:sz="0" w:space="0" w:color="auto"/>
      </w:divBdr>
    </w:div>
    <w:div w:id="1697806752">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 w:id="1963608488">
      <w:bodyDiv w:val="1"/>
      <w:marLeft w:val="0"/>
      <w:marRight w:val="0"/>
      <w:marTop w:val="0"/>
      <w:marBottom w:val="0"/>
      <w:divBdr>
        <w:top w:val="none" w:sz="0" w:space="0" w:color="auto"/>
        <w:left w:val="none" w:sz="0" w:space="0" w:color="auto"/>
        <w:bottom w:val="none" w:sz="0" w:space="0" w:color="auto"/>
        <w:right w:val="none" w:sz="0" w:space="0" w:color="auto"/>
      </w:divBdr>
    </w:div>
    <w:div w:id="19685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ata\Paper%20Yes\2020%20Jurnal%20MIMBAR%20Pulau%20Sumatera\Tulisan2\Template%20Mimb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84F4-5B42-4768-8FF1-27E5A65C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Mimbar</Template>
  <TotalTime>134</TotalTime>
  <Pages>9</Pages>
  <Words>20907</Words>
  <Characters>119172</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estro</dc:creator>
  <cp:lastModifiedBy>estro</cp:lastModifiedBy>
  <cp:revision>45</cp:revision>
  <cp:lastPrinted>1901-01-01T07:00:00Z</cp:lastPrinted>
  <dcterms:created xsi:type="dcterms:W3CDTF">2020-06-09T13:20:00Z</dcterms:created>
  <dcterms:modified xsi:type="dcterms:W3CDTF">2020-06-09T15:35:00Z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067cde68-2f4d-3345-ab8d-642c0ba942a4</vt:lpwstr>
  </property>
  <property fmtid="{D5CDD505-2E9C-101B-9397-08002B2CF9AE}" pid="24" name="Mendeley Citation Style_1">
    <vt:lpwstr>http://www.zotero.org/styles/apa</vt:lpwstr>
  </property>
</Properties>
</file>